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19DF" w14:textId="77777777" w:rsidR="007245BB" w:rsidRDefault="00000000">
      <w:pPr>
        <w:pStyle w:val="Heading1"/>
      </w:pPr>
      <w:bookmarkStart w:id="0" w:name="crystalline-and-amorphous-drug-forms"/>
      <w:r>
        <w:t>Crystalline and Amorphous Drug Forms</w:t>
      </w:r>
    </w:p>
    <w:p w14:paraId="421A4000" w14:textId="77777777" w:rsidR="007245BB" w:rsidRDefault="00000000">
      <w:pPr>
        <w:pStyle w:val="Heading2"/>
      </w:pPr>
      <w:bookmarkStart w:id="1" w:name="X04bf02630887b68b942493a0ba9d71bffc80f10"/>
      <w:r>
        <w:t>Fundamentals, Solid-State Characterization, and Role in Biopharmaceutical Performance</w:t>
      </w:r>
    </w:p>
    <w:p w14:paraId="04161E7E" w14:textId="77777777" w:rsidR="007245BB" w:rsidRDefault="00000000">
      <w:r>
        <w:pict w14:anchorId="6DBD2EA0">
          <v:rect id="_x0000_i1025" style="width:0;height:1.5pt" o:hralign="center" o:hrstd="t" o:hr="t"/>
        </w:pict>
      </w:r>
    </w:p>
    <w:p w14:paraId="5F9C6DC3" w14:textId="77777777" w:rsidR="007245BB" w:rsidRDefault="00000000">
      <w:pPr>
        <w:pStyle w:val="Heading2"/>
      </w:pPr>
      <w:bookmarkStart w:id="2" w:name="Xd3b978eac212a2cc60defa022ed3711815d3367"/>
      <w:bookmarkEnd w:id="1"/>
      <w:r>
        <w:t>1. Introduction to Solid-State Forms of Drugs</w:t>
      </w:r>
    </w:p>
    <w:p w14:paraId="0F2BAF34" w14:textId="77777777" w:rsidR="007245BB" w:rsidRDefault="00000000">
      <w:pPr>
        <w:pStyle w:val="FirstParagraph"/>
      </w:pPr>
      <w:r>
        <w:t xml:space="preserve">In pharmaceutical sciences, a drug molecule does not exist in isolation. It is always present in a </w:t>
      </w:r>
      <w:r>
        <w:rPr>
          <w:b/>
          <w:bCs/>
        </w:rPr>
        <w:t>solid form</w:t>
      </w:r>
      <w:r>
        <w:t xml:space="preserve">, and this physical form plays a decisive role in determining the drug’s </w:t>
      </w:r>
      <w:r>
        <w:rPr>
          <w:b/>
          <w:bCs/>
        </w:rPr>
        <w:t>solubility, dissolution rate, stability, bioavailability, and clinical performance</w:t>
      </w:r>
      <w:r>
        <w:t>.</w:t>
      </w:r>
    </w:p>
    <w:p w14:paraId="19ED1DCF" w14:textId="77777777" w:rsidR="007245BB" w:rsidRDefault="00000000">
      <w:pPr>
        <w:pStyle w:val="BodyText"/>
      </w:pPr>
      <w:r>
        <w:t xml:space="preserve">Traditionally, drug development focused mainly on the </w:t>
      </w:r>
      <w:r>
        <w:rPr>
          <w:b/>
          <w:bCs/>
        </w:rPr>
        <w:t>chemical structure of the molecule</w:t>
      </w:r>
      <w:r>
        <w:t xml:space="preserve">. However, modern pharmaceutical research has shifted toward a </w:t>
      </w:r>
      <w:r>
        <w:rPr>
          <w:b/>
          <w:bCs/>
        </w:rPr>
        <w:t>material-centric approach</w:t>
      </w:r>
      <w:r>
        <w:t>, where equal importance is given to how the molecule is arranged in the solid state.</w:t>
      </w:r>
    </w:p>
    <w:p w14:paraId="389D3F5A" w14:textId="77777777" w:rsidR="007245BB" w:rsidRDefault="00000000">
      <w:pPr>
        <w:pStyle w:val="BodyText"/>
      </w:pPr>
      <w:r>
        <w:t xml:space="preserve">Solid drugs mainly exist in two forms: - </w:t>
      </w:r>
      <w:r>
        <w:rPr>
          <w:b/>
          <w:bCs/>
        </w:rPr>
        <w:t>Crystalline form</w:t>
      </w:r>
      <w:r>
        <w:t xml:space="preserve"> – molecules arranged in an ordered pattern - </w:t>
      </w:r>
      <w:r>
        <w:rPr>
          <w:b/>
          <w:bCs/>
        </w:rPr>
        <w:t>Amorphous form</w:t>
      </w:r>
      <w:r>
        <w:t xml:space="preserve"> – molecules arranged in a disordered pattern</w:t>
      </w:r>
    </w:p>
    <w:p w14:paraId="03943F88" w14:textId="77777777" w:rsidR="007245BB" w:rsidRDefault="00000000">
      <w:pPr>
        <w:pStyle w:val="BodyText"/>
      </w:pPr>
      <w:r>
        <w:t>Understanding the differences between these forms is essential for designing safe, effective, and stable pharmaceutical products.</w:t>
      </w:r>
    </w:p>
    <w:p w14:paraId="69560418" w14:textId="77777777" w:rsidR="007245BB" w:rsidRDefault="00000000">
      <w:r>
        <w:pict w14:anchorId="0DB29462">
          <v:rect id="_x0000_i1026" style="width:0;height:1.5pt" o:hralign="center" o:hrstd="t" o:hr="t"/>
        </w:pict>
      </w:r>
    </w:p>
    <w:p w14:paraId="23E7F5B2" w14:textId="77777777" w:rsidR="007245BB" w:rsidRDefault="00000000">
      <w:pPr>
        <w:pStyle w:val="Heading2"/>
      </w:pPr>
      <w:bookmarkStart w:id="3" w:name="thermodynamics-of-the-crystalline-state"/>
      <w:bookmarkEnd w:id="2"/>
      <w:r>
        <w:t>2. Thermodynamics of the Crystalline State</w:t>
      </w:r>
    </w:p>
    <w:p w14:paraId="14C97380" w14:textId="77777777" w:rsidR="007245BB" w:rsidRDefault="00000000">
      <w:pPr>
        <w:pStyle w:val="Heading3"/>
      </w:pPr>
      <w:bookmarkStart w:id="4" w:name="long-range-order"/>
      <w:r>
        <w:t>2.1 Long-Range Order</w:t>
      </w:r>
    </w:p>
    <w:p w14:paraId="0F60B412" w14:textId="77777777" w:rsidR="007245BB" w:rsidRDefault="00000000">
      <w:pPr>
        <w:pStyle w:val="FirstParagraph"/>
      </w:pPr>
      <w:r>
        <w:t xml:space="preserve">Crystalline solids are characterized by </w:t>
      </w:r>
      <w:r>
        <w:rPr>
          <w:b/>
          <w:bCs/>
        </w:rPr>
        <w:t>long-range molecular order</w:t>
      </w:r>
      <w:r>
        <w:t xml:space="preserve">. Molecules are arranged in a highly regular, repeating three-dimensional pattern called a </w:t>
      </w:r>
      <w:r>
        <w:rPr>
          <w:b/>
          <w:bCs/>
        </w:rPr>
        <w:t>unit cell</w:t>
      </w:r>
      <w:r>
        <w:t>. This periodic arrangement extends throughout the crystal, giving it a definite shape and symmetry.</w:t>
      </w:r>
    </w:p>
    <w:p w14:paraId="0BE8BD5B" w14:textId="77777777" w:rsidR="007245BB" w:rsidRDefault="00000000">
      <w:pPr>
        <w:pStyle w:val="Heading3"/>
      </w:pPr>
      <w:bookmarkStart w:id="5" w:name="thermodynamic-stability"/>
      <w:bookmarkEnd w:id="4"/>
      <w:r>
        <w:t>2.2 Thermodynamic Stability</w:t>
      </w:r>
    </w:p>
    <w:p w14:paraId="7AB502FA" w14:textId="77777777" w:rsidR="007245BB" w:rsidRDefault="00000000">
      <w:pPr>
        <w:pStyle w:val="FirstParagraph"/>
      </w:pPr>
      <w:r>
        <w:t xml:space="preserve">Crystalline forms usually represent the </w:t>
      </w:r>
      <w:r>
        <w:rPr>
          <w:b/>
          <w:bCs/>
        </w:rPr>
        <w:t>lowest free energy state</w:t>
      </w:r>
      <w:r>
        <w:t xml:space="preserve"> of a substance. Because they exist at a global minimum of free energy, they are considered </w:t>
      </w:r>
      <w:r>
        <w:rPr>
          <w:b/>
          <w:bCs/>
        </w:rPr>
        <w:t>thermodynamically stable</w:t>
      </w:r>
      <w:r>
        <w:t>. This stability makes crystalline drugs less likely to undergo physical changes during storage.</w:t>
      </w:r>
    </w:p>
    <w:p w14:paraId="0D40367F" w14:textId="77777777" w:rsidR="007245BB" w:rsidRDefault="00000000">
      <w:pPr>
        <w:pStyle w:val="Heading3"/>
      </w:pPr>
      <w:bookmarkStart w:id="6" w:name="lattice-energy"/>
      <w:bookmarkEnd w:id="5"/>
      <w:r>
        <w:lastRenderedPageBreak/>
        <w:t>2.3 Lattice Energy</w:t>
      </w:r>
    </w:p>
    <w:p w14:paraId="73775B68" w14:textId="77777777" w:rsidR="007245BB" w:rsidRDefault="00000000">
      <w:pPr>
        <w:pStyle w:val="FirstParagraph"/>
      </w:pPr>
      <w:r>
        <w:t>Lattice energy is the energy required to separate molecules from the crystal lattice. High lattice energy indicates strong intermolecular forces. As a result: - High lattice energy → strong crystal packing - Strong packing → lower solubility</w:t>
      </w:r>
    </w:p>
    <w:p w14:paraId="44FAAA9A" w14:textId="77777777" w:rsidR="007245BB" w:rsidRDefault="00000000">
      <w:pPr>
        <w:pStyle w:val="BodyText"/>
      </w:pPr>
      <w:r>
        <w:t>This explains why many crystalline drugs show poor aqueous solubility.</w:t>
      </w:r>
    </w:p>
    <w:p w14:paraId="5F6FBFAB" w14:textId="77777777" w:rsidR="007245BB" w:rsidRDefault="00000000">
      <w:pPr>
        <w:pStyle w:val="Heading3"/>
      </w:pPr>
      <w:bookmarkStart w:id="7" w:name="phase-transitions"/>
      <w:bookmarkEnd w:id="6"/>
      <w:r>
        <w:t>2.4 Phase Transitions</w:t>
      </w:r>
    </w:p>
    <w:p w14:paraId="5D18E846" w14:textId="77777777" w:rsidR="007245BB" w:rsidRDefault="00000000">
      <w:pPr>
        <w:pStyle w:val="FirstParagraph"/>
      </w:pPr>
      <w:r>
        <w:t xml:space="preserve">Crystalline solids exhibit </w:t>
      </w:r>
      <w:r>
        <w:rPr>
          <w:b/>
          <w:bCs/>
        </w:rPr>
        <w:t>sharp melting points (Tm)</w:t>
      </w:r>
      <w:r>
        <w:t>. At the melting temperature, the crystal lattice collapses abruptly, indicating a clear phase transition from solid to liquid.</w:t>
      </w:r>
    </w:p>
    <w:p w14:paraId="1F93A783" w14:textId="77777777" w:rsidR="007245BB" w:rsidRDefault="00000000">
      <w:r>
        <w:pict w14:anchorId="16F32894">
          <v:rect id="_x0000_i1027" style="width:0;height:1.5pt" o:hralign="center" o:hrstd="t" o:hr="t"/>
        </w:pict>
      </w:r>
    </w:p>
    <w:p w14:paraId="7E8E1D82" w14:textId="77777777" w:rsidR="007245BB" w:rsidRDefault="00000000">
      <w:pPr>
        <w:pStyle w:val="Heading2"/>
      </w:pPr>
      <w:bookmarkStart w:id="8" w:name="physics-of-the-amorphous-state"/>
      <w:bookmarkEnd w:id="3"/>
      <w:bookmarkEnd w:id="7"/>
      <w:r>
        <w:t>3. Physics of the Amorphous State</w:t>
      </w:r>
    </w:p>
    <w:p w14:paraId="2D0F0B06" w14:textId="77777777" w:rsidR="007245BB" w:rsidRDefault="00000000">
      <w:pPr>
        <w:pStyle w:val="Heading3"/>
      </w:pPr>
      <w:bookmarkStart w:id="9" w:name="definition"/>
      <w:r>
        <w:t>3.1 Definition</w:t>
      </w:r>
    </w:p>
    <w:p w14:paraId="3526B654" w14:textId="77777777" w:rsidR="007245BB" w:rsidRDefault="00000000">
      <w:pPr>
        <w:pStyle w:val="FirstParagraph"/>
      </w:pPr>
      <w:r>
        <w:t xml:space="preserve">Amorphous solids are often described as </w:t>
      </w:r>
      <w:r>
        <w:rPr>
          <w:b/>
          <w:bCs/>
        </w:rPr>
        <w:t>“frozen liquids”</w:t>
      </w:r>
      <w:r>
        <w:t xml:space="preserve"> or </w:t>
      </w:r>
      <w:r>
        <w:rPr>
          <w:b/>
          <w:bCs/>
        </w:rPr>
        <w:t>vitrified liquids</w:t>
      </w:r>
      <w:r>
        <w:t>. They lack long-range order, and their molecular arrangement resembles that of a liquid that has been immobilized.</w:t>
      </w:r>
    </w:p>
    <w:p w14:paraId="292D837E" w14:textId="77777777" w:rsidR="007245BB" w:rsidRDefault="00000000">
      <w:pPr>
        <w:pStyle w:val="Heading3"/>
      </w:pPr>
      <w:bookmarkStart w:id="10" w:name="excess-entropy-and-energy"/>
      <w:bookmarkEnd w:id="9"/>
      <w:r>
        <w:t>3.2 Excess Entropy and Energy</w:t>
      </w:r>
    </w:p>
    <w:p w14:paraId="521A3D7B" w14:textId="77777777" w:rsidR="007245BB" w:rsidRDefault="00000000">
      <w:pPr>
        <w:pStyle w:val="FirstParagraph"/>
      </w:pPr>
      <w:r>
        <w:t>Compared to crystalline forms, amorphous forms possess: - Higher entropy - Higher enthalpy - Higher free energy</w:t>
      </w:r>
    </w:p>
    <w:p w14:paraId="53B5872D" w14:textId="77777777" w:rsidR="007245BB" w:rsidRDefault="00000000">
      <w:pPr>
        <w:pStyle w:val="BodyText"/>
      </w:pPr>
      <w:r>
        <w:t xml:space="preserve">This excess energy is the main reason amorphous drugs show </w:t>
      </w:r>
      <w:r>
        <w:rPr>
          <w:b/>
          <w:bCs/>
        </w:rPr>
        <w:t>higher solubility and faster dissolution</w:t>
      </w:r>
      <w:r>
        <w:t>.</w:t>
      </w:r>
    </w:p>
    <w:p w14:paraId="760FADF9" w14:textId="77777777" w:rsidR="007245BB" w:rsidRDefault="00000000">
      <w:pPr>
        <w:pStyle w:val="Heading3"/>
      </w:pPr>
      <w:bookmarkStart w:id="11" w:name="molecular-mobility"/>
      <w:bookmarkEnd w:id="10"/>
      <w:r>
        <w:t>3.3 Molecular Mobility</w:t>
      </w:r>
    </w:p>
    <w:p w14:paraId="5292277C" w14:textId="77777777" w:rsidR="007245BB" w:rsidRDefault="00000000">
      <w:pPr>
        <w:pStyle w:val="FirstParagraph"/>
      </w:pPr>
      <w:r>
        <w:t xml:space="preserve">The high-energy nature of amorphous solids results in increased </w:t>
      </w:r>
      <w:r>
        <w:rPr>
          <w:b/>
          <w:bCs/>
        </w:rPr>
        <w:t>molecular mobility</w:t>
      </w:r>
      <w:r>
        <w:t>. While this improves dissolution, it also increases the risk of: - Chemical degradation - Physical instability - Recrystallization</w:t>
      </w:r>
    </w:p>
    <w:p w14:paraId="4C01ADF7" w14:textId="77777777" w:rsidR="007245BB" w:rsidRDefault="00000000">
      <w:pPr>
        <w:pStyle w:val="Heading3"/>
      </w:pPr>
      <w:bookmarkStart w:id="12" w:name="glass-transition-temperature-tg"/>
      <w:bookmarkEnd w:id="11"/>
      <w:r>
        <w:t>3.4 Glass Transition Temperature (Tg)</w:t>
      </w:r>
    </w:p>
    <w:p w14:paraId="777BC879" w14:textId="77777777" w:rsidR="007245BB" w:rsidRDefault="00000000">
      <w:pPr>
        <w:pStyle w:val="FirstParagraph"/>
      </w:pPr>
      <w:r>
        <w:t xml:space="preserve">The </w:t>
      </w:r>
      <w:r>
        <w:rPr>
          <w:b/>
          <w:bCs/>
        </w:rPr>
        <w:t>glass transition temperature (Tg)</w:t>
      </w:r>
      <w:r>
        <w:t xml:space="preserve"> is a critical property of amorphous solids. Below Tg, the material behaves as a hard, brittle glass. Above Tg, it becomes rubbery and viscous, with significantly higher molecular mobility.</w:t>
      </w:r>
    </w:p>
    <w:p w14:paraId="62C6D1CD" w14:textId="77777777" w:rsidR="007245BB" w:rsidRDefault="00000000">
      <w:r>
        <w:pict w14:anchorId="0968795B">
          <v:rect id="_x0000_i1028" style="width:0;height:1.5pt" o:hralign="center" o:hrstd="t" o:hr="t"/>
        </w:pict>
      </w:r>
    </w:p>
    <w:p w14:paraId="006B8B74" w14:textId="77777777" w:rsidR="007245BB" w:rsidRDefault="00000000">
      <w:pPr>
        <w:pStyle w:val="Heading2"/>
      </w:pPr>
      <w:bookmarkStart w:id="13" w:name="nucleation-and-crystal-growth"/>
      <w:bookmarkEnd w:id="8"/>
      <w:bookmarkEnd w:id="12"/>
      <w:r>
        <w:lastRenderedPageBreak/>
        <w:t>4. Nucleation and Crystal Growth</w:t>
      </w:r>
    </w:p>
    <w:p w14:paraId="38D19CC9" w14:textId="77777777" w:rsidR="007245BB" w:rsidRDefault="00000000">
      <w:pPr>
        <w:pStyle w:val="Heading3"/>
      </w:pPr>
      <w:bookmarkStart w:id="14" w:name="nucleation"/>
      <w:r>
        <w:t>4.1 Nucleation</w:t>
      </w:r>
    </w:p>
    <w:p w14:paraId="5C7894F9" w14:textId="77777777" w:rsidR="007245BB" w:rsidRDefault="00000000">
      <w:pPr>
        <w:pStyle w:val="FirstParagraph"/>
      </w:pPr>
      <w:r>
        <w:t xml:space="preserve">Nucleation is the first step in crystal formation and occurs from a </w:t>
      </w:r>
      <w:r>
        <w:rPr>
          <w:b/>
          <w:bCs/>
        </w:rPr>
        <w:t>supersaturated system</w:t>
      </w:r>
      <w:r>
        <w:t>.</w:t>
      </w:r>
    </w:p>
    <w:p w14:paraId="18F8047A" w14:textId="77777777" w:rsidR="007245BB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Primary nucleation</w:t>
      </w:r>
      <w:r>
        <w:t xml:space="preserve"> occurs without pre-existing crystals. It may be homogeneous (in pure solution) or heterogeneous (on surfaces or impurities).</w:t>
      </w:r>
    </w:p>
    <w:p w14:paraId="7DD084FF" w14:textId="77777777" w:rsidR="007245BB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Secondary nucleation</w:t>
      </w:r>
      <w:r>
        <w:t xml:space="preserve"> occurs in the presence of existing crystals, which act as templates for further growth.</w:t>
      </w:r>
    </w:p>
    <w:p w14:paraId="438B322F" w14:textId="77777777" w:rsidR="007245BB" w:rsidRDefault="00000000">
      <w:pPr>
        <w:pStyle w:val="Heading3"/>
      </w:pPr>
      <w:bookmarkStart w:id="15" w:name="critical-nucleus-size"/>
      <w:bookmarkEnd w:id="14"/>
      <w:r>
        <w:t>4.2 Critical Nucleus Size</w:t>
      </w:r>
    </w:p>
    <w:p w14:paraId="4E10FF2E" w14:textId="77777777" w:rsidR="007245BB" w:rsidRDefault="00000000">
      <w:pPr>
        <w:pStyle w:val="FirstParagraph"/>
      </w:pPr>
      <w:r>
        <w:t xml:space="preserve">Only molecular clusters that reach a </w:t>
      </w:r>
      <w:r>
        <w:rPr>
          <w:b/>
          <w:bCs/>
        </w:rPr>
        <w:t>critical size</w:t>
      </w:r>
      <w:r>
        <w:t xml:space="preserve"> can act as stable crystal nuclei. Smaller clusters dissolve back into the solution.</w:t>
      </w:r>
    </w:p>
    <w:p w14:paraId="7D1A53D6" w14:textId="77777777" w:rsidR="007245BB" w:rsidRDefault="00000000">
      <w:pPr>
        <w:pStyle w:val="Heading3"/>
      </w:pPr>
      <w:bookmarkStart w:id="16" w:name="supersaturation-control"/>
      <w:bookmarkEnd w:id="15"/>
      <w:r>
        <w:t>4.3 Supersaturation Control</w:t>
      </w:r>
    </w:p>
    <w:p w14:paraId="760F278F" w14:textId="77777777" w:rsidR="007245BB" w:rsidRDefault="00000000">
      <w:pPr>
        <w:pStyle w:val="FirstParagraph"/>
      </w:pPr>
      <w:r>
        <w:t>Supersaturation is the driving force for nucleation. Poor control can lead to: - No nucleation (low supersaturation) - Uncontrolled precipitation or oiling out (excess supersaturation)</w:t>
      </w:r>
    </w:p>
    <w:p w14:paraId="3E6D8BAA" w14:textId="77777777" w:rsidR="007245BB" w:rsidRDefault="00000000">
      <w:r>
        <w:pict w14:anchorId="08044565">
          <v:rect id="_x0000_i1029" style="width:0;height:1.5pt" o:hralign="center" o:hrstd="t" o:hr="t"/>
        </w:pict>
      </w:r>
    </w:p>
    <w:p w14:paraId="0B93D632" w14:textId="77777777" w:rsidR="007245BB" w:rsidRDefault="00000000">
      <w:pPr>
        <w:pStyle w:val="Heading2"/>
      </w:pPr>
      <w:bookmarkStart w:id="17" w:name="crystal-growth-mechanisms"/>
      <w:bookmarkEnd w:id="13"/>
      <w:bookmarkEnd w:id="16"/>
      <w:r>
        <w:t>5. Crystal Growth Mechanisms</w:t>
      </w:r>
    </w:p>
    <w:p w14:paraId="418D030C" w14:textId="77777777" w:rsidR="007245BB" w:rsidRDefault="00000000">
      <w:pPr>
        <w:pStyle w:val="FirstParagraph"/>
      </w:pPr>
      <w:r>
        <w:t xml:space="preserve">Once nucleation occurs, crystals grow by </w:t>
      </w:r>
      <w:r>
        <w:rPr>
          <w:b/>
          <w:bCs/>
        </w:rPr>
        <w:t>layer-by-layer addition</w:t>
      </w:r>
      <w:r>
        <w:t xml:space="preserve"> of molecules.</w:t>
      </w:r>
    </w:p>
    <w:p w14:paraId="59BAB6C1" w14:textId="77777777" w:rsidR="007245BB" w:rsidRDefault="00000000">
      <w:pPr>
        <w:pStyle w:val="BodyText"/>
      </w:pPr>
      <w:r>
        <w:t>The growth rate is controlled by: - Diffusion of molecules to the crystal surface - Surface integration and molecular orientation</w:t>
      </w:r>
    </w:p>
    <w:p w14:paraId="6B01EA52" w14:textId="77777777" w:rsidR="007245BB" w:rsidRDefault="00000000">
      <w:pPr>
        <w:pStyle w:val="BodyText"/>
      </w:pPr>
      <w:r>
        <w:t xml:space="preserve">Growth conditions influence the </w:t>
      </w:r>
      <w:r>
        <w:rPr>
          <w:b/>
          <w:bCs/>
        </w:rPr>
        <w:t>crystal habit</w:t>
      </w:r>
      <w:r>
        <w:t xml:space="preserve">, such as needle-shaped, plate-like, or prismatic crystals, and also affect </w:t>
      </w:r>
      <w:r>
        <w:rPr>
          <w:b/>
          <w:bCs/>
        </w:rPr>
        <w:t>polymorphic selection</w:t>
      </w:r>
      <w:r>
        <w:t>.</w:t>
      </w:r>
    </w:p>
    <w:p w14:paraId="43872E52" w14:textId="77777777" w:rsidR="007245BB" w:rsidRDefault="00000000">
      <w:r>
        <w:pict w14:anchorId="26E6E30C">
          <v:rect id="_x0000_i1030" style="width:0;height:1.5pt" o:hralign="center" o:hrstd="t" o:hr="t"/>
        </w:pict>
      </w:r>
    </w:p>
    <w:p w14:paraId="3408D43C" w14:textId="77777777" w:rsidR="007245BB" w:rsidRDefault="00000000">
      <w:pPr>
        <w:pStyle w:val="Heading2"/>
      </w:pPr>
      <w:bookmarkStart w:id="18" w:name="methods-of-amorphization"/>
      <w:bookmarkEnd w:id="17"/>
      <w:r>
        <w:t>6. Methods of Amorphization</w:t>
      </w:r>
    </w:p>
    <w:p w14:paraId="51C2D079" w14:textId="77777777" w:rsidR="007245BB" w:rsidRDefault="00000000">
      <w:pPr>
        <w:pStyle w:val="Heading3"/>
      </w:pPr>
      <w:bookmarkStart w:id="19" w:name="thermal-and-solvent-based-methods"/>
      <w:r>
        <w:t>6.1 Thermal and Solvent-Based Methods</w:t>
      </w:r>
    </w:p>
    <w:p w14:paraId="39C48128" w14:textId="77777777" w:rsidR="007245BB" w:rsidRDefault="00000000">
      <w:pPr>
        <w:pStyle w:val="FirstParagraph"/>
      </w:pPr>
      <w:r>
        <w:rPr>
          <w:b/>
          <w:bCs/>
        </w:rPr>
        <w:t>Melt Quenching</w:t>
      </w:r>
      <w:r>
        <w:t xml:space="preserve"> involves heating the drug above its melting point followed by rapid cooling, which prevents molecular rearrangement.</w:t>
      </w:r>
    </w:p>
    <w:p w14:paraId="429BB525" w14:textId="77777777" w:rsidR="007245BB" w:rsidRDefault="00000000">
      <w:pPr>
        <w:pStyle w:val="BodyText"/>
      </w:pPr>
      <w:r>
        <w:rPr>
          <w:b/>
          <w:bCs/>
        </w:rPr>
        <w:t>Spray Drying</w:t>
      </w:r>
      <w:r>
        <w:t xml:space="preserve"> produces amorphous solids by rapid solvent evaporation from atomized droplets, leaving no time for crystal formation.</w:t>
      </w:r>
    </w:p>
    <w:p w14:paraId="6A812F92" w14:textId="77777777" w:rsidR="007245BB" w:rsidRDefault="00000000">
      <w:pPr>
        <w:pStyle w:val="BodyText"/>
      </w:pPr>
      <w:r>
        <w:rPr>
          <w:b/>
          <w:bCs/>
        </w:rPr>
        <w:t>Freeze-Drying (Lyophilization)</w:t>
      </w:r>
      <w:r>
        <w:t xml:space="preserve"> is used for heat-sensitive drugs. Rapid freezing followed by sublimation of solvent promotes amorphous structures.</w:t>
      </w:r>
    </w:p>
    <w:p w14:paraId="790AD9CA" w14:textId="77777777" w:rsidR="007245BB" w:rsidRDefault="00000000">
      <w:pPr>
        <w:pStyle w:val="BodyText"/>
      </w:pPr>
      <w:r>
        <w:rPr>
          <w:b/>
          <w:bCs/>
        </w:rPr>
        <w:lastRenderedPageBreak/>
        <w:t>Vapor Deposition</w:t>
      </w:r>
      <w:r>
        <w:t xml:space="preserve"> forms amorphous thin films by condensing drug vapor on a cold surface.</w:t>
      </w:r>
    </w:p>
    <w:p w14:paraId="30520DD9" w14:textId="77777777" w:rsidR="007245BB" w:rsidRDefault="00000000">
      <w:pPr>
        <w:pStyle w:val="Heading3"/>
      </w:pPr>
      <w:bookmarkStart w:id="20" w:name="mechanical-and-solid-state-methods"/>
      <w:bookmarkEnd w:id="19"/>
      <w:r>
        <w:t>6.2 Mechanical and Solid-State Methods</w:t>
      </w:r>
    </w:p>
    <w:p w14:paraId="56EA1439" w14:textId="77777777" w:rsidR="007245BB" w:rsidRDefault="00000000">
      <w:pPr>
        <w:pStyle w:val="FirstParagraph"/>
      </w:pPr>
      <w:r>
        <w:rPr>
          <w:b/>
          <w:bCs/>
        </w:rPr>
        <w:t>Milling and Grinding</w:t>
      </w:r>
      <w:r>
        <w:t xml:space="preserve"> introduce mechanical stress that disrupts crystal lattices.</w:t>
      </w:r>
    </w:p>
    <w:p w14:paraId="6D16B91A" w14:textId="77777777" w:rsidR="007245BB" w:rsidRDefault="00000000">
      <w:pPr>
        <w:pStyle w:val="BodyText"/>
      </w:pPr>
      <w:r>
        <w:rPr>
          <w:b/>
          <w:bCs/>
        </w:rPr>
        <w:t>Dehydration of Hydrates</w:t>
      </w:r>
      <w:r>
        <w:t xml:space="preserve"> removes lattice water, causing collapse of the crystal structure.</w:t>
      </w:r>
    </w:p>
    <w:p w14:paraId="1BC817F4" w14:textId="77777777" w:rsidR="007245BB" w:rsidRDefault="00000000">
      <w:pPr>
        <w:pStyle w:val="BodyText"/>
      </w:pPr>
      <w:r>
        <w:rPr>
          <w:b/>
          <w:bCs/>
        </w:rPr>
        <w:t>Solvent-Mediated Transformation</w:t>
      </w:r>
      <w:r>
        <w:t xml:space="preserve"> uses rapid precipitation with anti-solvents.</w:t>
      </w:r>
    </w:p>
    <w:p w14:paraId="664BA8B5" w14:textId="77777777" w:rsidR="007245BB" w:rsidRDefault="00000000">
      <w:pPr>
        <w:pStyle w:val="BodyText"/>
      </w:pPr>
      <w:r>
        <w:rPr>
          <w:b/>
          <w:bCs/>
        </w:rPr>
        <w:t>Hot-Melt Extrusion (HME)</w:t>
      </w:r>
      <w:r>
        <w:t xml:space="preserve"> mixes drugs with polymers to stabilize amorphous dispersions.</w:t>
      </w:r>
    </w:p>
    <w:p w14:paraId="7F940303" w14:textId="77777777" w:rsidR="007245BB" w:rsidRDefault="00000000">
      <w:r>
        <w:pict w14:anchorId="02A11569">
          <v:rect id="_x0000_i1031" style="width:0;height:1.5pt" o:hralign="center" o:hrstd="t" o:hr="t"/>
        </w:pict>
      </w:r>
    </w:p>
    <w:p w14:paraId="6C44936E" w14:textId="77777777" w:rsidR="007245BB" w:rsidRDefault="00000000">
      <w:pPr>
        <w:pStyle w:val="Heading2"/>
      </w:pPr>
      <w:bookmarkStart w:id="21" w:name="X5525f401468bc7004031ff6c6920b0cbbdda8aa"/>
      <w:bookmarkEnd w:id="18"/>
      <w:bookmarkEnd w:id="20"/>
      <w:r>
        <w:t>7. Structural Complexity of Amorphous Solids</w:t>
      </w:r>
    </w:p>
    <w:p w14:paraId="1DD8E138" w14:textId="77777777" w:rsidR="007245BB" w:rsidRDefault="00000000">
      <w:pPr>
        <w:pStyle w:val="FirstParagraph"/>
      </w:pPr>
      <w:r>
        <w:t xml:space="preserve">Amorphous solids are not uniform. They exhibit </w:t>
      </w:r>
      <w:r>
        <w:rPr>
          <w:b/>
          <w:bCs/>
        </w:rPr>
        <w:t>microheterogeneity</w:t>
      </w:r>
      <w:r>
        <w:t>, with regions of different density and mobility.</w:t>
      </w:r>
    </w:p>
    <w:p w14:paraId="2444D75E" w14:textId="77777777" w:rsidR="007245BB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Alpha relaxation</w:t>
      </w:r>
      <w:r>
        <w:t xml:space="preserve"> occurs near Tg and involves large-scale molecular motion.</w:t>
      </w:r>
    </w:p>
    <w:p w14:paraId="00070991" w14:textId="77777777" w:rsidR="007245BB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Beta relaxation</w:t>
      </w:r>
      <w:r>
        <w:t xml:space="preserve"> occurs below Tg and involves localized molecular movements.</w:t>
      </w:r>
    </w:p>
    <w:p w14:paraId="2906C00A" w14:textId="77777777" w:rsidR="007245BB" w:rsidRDefault="00000000">
      <w:pPr>
        <w:pStyle w:val="FirstParagraph"/>
      </w:pPr>
      <w:r>
        <w:t xml:space="preserve">Molecules rearrange in clusters called </w:t>
      </w:r>
      <w:r>
        <w:rPr>
          <w:b/>
          <w:bCs/>
        </w:rPr>
        <w:t>cooperatively rearranging regions (CRRs)</w:t>
      </w:r>
      <w:r>
        <w:t>. These regions influence glass fragility and long-term stability.</w:t>
      </w:r>
    </w:p>
    <w:p w14:paraId="03021A9A" w14:textId="77777777" w:rsidR="007245BB" w:rsidRDefault="00000000">
      <w:r>
        <w:pict w14:anchorId="78BF0CA5">
          <v:rect id="_x0000_i1032" style="width:0;height:1.5pt" o:hralign="center" o:hrstd="t" o:hr="t"/>
        </w:pict>
      </w:r>
    </w:p>
    <w:p w14:paraId="02C33454" w14:textId="77777777" w:rsidR="007245BB" w:rsidRDefault="00000000">
      <w:pPr>
        <w:pStyle w:val="Heading2"/>
      </w:pPr>
      <w:bookmarkStart w:id="22" w:name="X446a8ecc32facf4ebf4921d4a8ff32efed42ec1"/>
      <w:bookmarkEnd w:id="21"/>
      <w:r>
        <w:t>8. Advanced Solid-State Characterization Techniques</w:t>
      </w:r>
    </w:p>
    <w:p w14:paraId="15BB3EB5" w14:textId="77777777" w:rsidR="007245BB" w:rsidRDefault="00000000">
      <w:pPr>
        <w:pStyle w:val="Heading3"/>
      </w:pPr>
      <w:bookmarkStart w:id="23" w:name="differential-scanning-calorimetry-dsc"/>
      <w:r>
        <w:t>8.1 Differential Scanning Calorimetry (DSC)</w:t>
      </w:r>
    </w:p>
    <w:p w14:paraId="4B61551B" w14:textId="77777777" w:rsidR="007245BB" w:rsidRDefault="00000000">
      <w:pPr>
        <w:pStyle w:val="FirstParagraph"/>
      </w:pPr>
      <w:r>
        <w:t>DSC measures heat flow associated with temperature changes. It helps identify: - Glass transition (Tg) - Cold crystallization - Melting points</w:t>
      </w:r>
    </w:p>
    <w:p w14:paraId="700AB73A" w14:textId="77777777" w:rsidR="007245BB" w:rsidRDefault="00000000">
      <w:pPr>
        <w:pStyle w:val="Heading3"/>
      </w:pPr>
      <w:bookmarkStart w:id="24" w:name="X49cea0bdcea8a3d3e7fa471c1c1f2d47cbe2fab"/>
      <w:bookmarkEnd w:id="23"/>
      <w:r>
        <w:t>8.2 Modulated DSC and Thermogravimetric Analysis (TGA)</w:t>
      </w:r>
    </w:p>
    <w:p w14:paraId="66243291" w14:textId="77777777" w:rsidR="007245BB" w:rsidRDefault="00000000">
      <w:pPr>
        <w:pStyle w:val="FirstParagraph"/>
      </w:pPr>
      <w:r>
        <w:t>Modulated DSC separates reversing and non-reversing thermal events.</w:t>
      </w:r>
    </w:p>
    <w:p w14:paraId="15B4C051" w14:textId="77777777" w:rsidR="007245BB" w:rsidRDefault="00000000">
      <w:pPr>
        <w:pStyle w:val="BodyText"/>
      </w:pPr>
      <w:r>
        <w:t>TGA measures weight changes to detect: - Moisture or solvent loss - Decomposition</w:t>
      </w:r>
    </w:p>
    <w:p w14:paraId="52429C85" w14:textId="77777777" w:rsidR="007245BB" w:rsidRDefault="00000000">
      <w:pPr>
        <w:pStyle w:val="BodyText"/>
      </w:pPr>
      <w:r>
        <w:t>DTG identifies temperatures of maximum weight loss, while isothermal TGA predicts shelf life.</w:t>
      </w:r>
    </w:p>
    <w:p w14:paraId="607B83E4" w14:textId="77777777" w:rsidR="007245BB" w:rsidRDefault="00000000">
      <w:pPr>
        <w:pStyle w:val="Heading3"/>
      </w:pPr>
      <w:bookmarkStart w:id="25" w:name="powder-x-ray-diffraction-pxrd"/>
      <w:bookmarkEnd w:id="24"/>
      <w:r>
        <w:t>8.3 Powder X-ray Diffraction (PXRD)</w:t>
      </w:r>
    </w:p>
    <w:p w14:paraId="7D7F990B" w14:textId="77777777" w:rsidR="007245BB" w:rsidRDefault="00000000">
      <w:pPr>
        <w:pStyle w:val="FirstParagraph"/>
      </w:pPr>
      <w:r>
        <w:t>PXRD distinguishes crystalline and amorphous materials. Crystalline solids show sharp peaks, while amorphous solids show a broad halo. PXRD is also used for polymorph identification and crystallinity estimation.</w:t>
      </w:r>
    </w:p>
    <w:p w14:paraId="231F2552" w14:textId="77777777" w:rsidR="007245BB" w:rsidRDefault="00000000">
      <w:pPr>
        <w:pStyle w:val="Heading3"/>
      </w:pPr>
      <w:bookmarkStart w:id="26" w:name="spectroscopic-techniques"/>
      <w:bookmarkEnd w:id="25"/>
      <w:r>
        <w:lastRenderedPageBreak/>
        <w:t>8.4 Spectroscopic Techniques</w:t>
      </w:r>
    </w:p>
    <w:p w14:paraId="7CE78B09" w14:textId="77777777" w:rsidR="007245BB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FTIR and Raman spectroscopy</w:t>
      </w:r>
      <w:r>
        <w:t xml:space="preserve"> detect hydrogen bonding and molecular interactions.</w:t>
      </w:r>
    </w:p>
    <w:p w14:paraId="59CDC6B6" w14:textId="77777777" w:rsidR="007245BB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Solid-state NMR</w:t>
      </w:r>
      <w:r>
        <w:t xml:space="preserve"> reveals molecular conformation.</w:t>
      </w:r>
    </w:p>
    <w:p w14:paraId="464D2A6E" w14:textId="77777777" w:rsidR="007245BB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Raman mapping</w:t>
      </w:r>
      <w:r>
        <w:t xml:space="preserve"> visualizes spatial distribution of solid forms.</w:t>
      </w:r>
    </w:p>
    <w:p w14:paraId="19619089" w14:textId="77777777" w:rsidR="007245BB" w:rsidRDefault="00000000">
      <w:pPr>
        <w:pStyle w:val="FirstParagraph"/>
      </w:pPr>
      <w:r>
        <w:t>These methods are non-destructive and suitable for in-line monitoring.</w:t>
      </w:r>
    </w:p>
    <w:p w14:paraId="4EF291B0" w14:textId="77777777" w:rsidR="007245BB" w:rsidRDefault="00000000">
      <w:r>
        <w:pict w14:anchorId="54551C4A">
          <v:rect id="_x0000_i1033" style="width:0;height:1.5pt" o:hralign="center" o:hrstd="t" o:hr="t"/>
        </w:pict>
      </w:r>
    </w:p>
    <w:p w14:paraId="4ACBF670" w14:textId="77777777" w:rsidR="007245BB" w:rsidRDefault="00000000">
      <w:pPr>
        <w:pStyle w:val="Heading2"/>
      </w:pPr>
      <w:bookmarkStart w:id="27" w:name="polymorphism"/>
      <w:bookmarkEnd w:id="22"/>
      <w:bookmarkEnd w:id="26"/>
      <w:r>
        <w:t>9. Polymorphism</w:t>
      </w:r>
    </w:p>
    <w:p w14:paraId="0DB9F6F0" w14:textId="77777777" w:rsidR="007245BB" w:rsidRDefault="00000000">
      <w:pPr>
        <w:pStyle w:val="FirstParagraph"/>
      </w:pPr>
      <w:r>
        <w:t>Polymorphism refers to the ability of a drug to exist in more than one crystalline form.</w:t>
      </w:r>
    </w:p>
    <w:p w14:paraId="32431D45" w14:textId="77777777" w:rsidR="007245BB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Conformational polymorphism</w:t>
      </w:r>
      <w:r>
        <w:t xml:space="preserve"> involves different molecular conformations.</w:t>
      </w:r>
    </w:p>
    <w:p w14:paraId="53C6AFDD" w14:textId="77777777" w:rsidR="007245BB" w:rsidRDefault="00000000">
      <w:pPr>
        <w:pStyle w:val="Compact"/>
        <w:numPr>
          <w:ilvl w:val="0"/>
          <w:numId w:val="5"/>
        </w:numPr>
      </w:pPr>
      <w:r>
        <w:rPr>
          <w:b/>
          <w:bCs/>
        </w:rPr>
        <w:t>Packing polymorphism</w:t>
      </w:r>
      <w:r>
        <w:t xml:space="preserve"> involves different molecular arrangements.</w:t>
      </w:r>
    </w:p>
    <w:p w14:paraId="08559C49" w14:textId="77777777" w:rsidR="007245BB" w:rsidRDefault="00000000">
      <w:pPr>
        <w:pStyle w:val="FirstParagraph"/>
      </w:pPr>
      <w:r>
        <w:t xml:space="preserve">In </w:t>
      </w:r>
      <w:r>
        <w:rPr>
          <w:b/>
          <w:bCs/>
        </w:rPr>
        <w:t>monotropic systems</w:t>
      </w:r>
      <w:r>
        <w:t xml:space="preserve">, one form is always stable. In </w:t>
      </w:r>
      <w:r>
        <w:rPr>
          <w:b/>
          <w:bCs/>
        </w:rPr>
        <w:t>enantiotropic systems</w:t>
      </w:r>
      <w:r>
        <w:t>, stability changes with temperature.</w:t>
      </w:r>
    </w:p>
    <w:p w14:paraId="57595EAE" w14:textId="77777777" w:rsidR="007245BB" w:rsidRDefault="00000000">
      <w:pPr>
        <w:pStyle w:val="BodyText"/>
      </w:pPr>
      <w:r>
        <w:t xml:space="preserve">The most stable polymorph generally has the </w:t>
      </w:r>
      <w:r>
        <w:rPr>
          <w:b/>
          <w:bCs/>
        </w:rPr>
        <w:t>lowest solubility</w:t>
      </w:r>
      <w:r>
        <w:t>.</w:t>
      </w:r>
    </w:p>
    <w:p w14:paraId="1A9221F7" w14:textId="77777777" w:rsidR="007245BB" w:rsidRDefault="00000000">
      <w:r>
        <w:pict w14:anchorId="602B2783">
          <v:rect id="_x0000_i1034" style="width:0;height:1.5pt" o:hralign="center" o:hrstd="t" o:hr="t"/>
        </w:pict>
      </w:r>
    </w:p>
    <w:p w14:paraId="732DB1A8" w14:textId="77777777" w:rsidR="007245BB" w:rsidRDefault="00000000">
      <w:pPr>
        <w:pStyle w:val="Heading2"/>
      </w:pPr>
      <w:bookmarkStart w:id="28" w:name="multicomponent-systems"/>
      <w:bookmarkEnd w:id="27"/>
      <w:r>
        <w:t>10. Multicomponent Systems</w:t>
      </w:r>
    </w:p>
    <w:p w14:paraId="3B056B53" w14:textId="77777777" w:rsidR="007245BB" w:rsidRDefault="00000000">
      <w:pPr>
        <w:pStyle w:val="Heading3"/>
      </w:pPr>
      <w:bookmarkStart w:id="29" w:name="salts"/>
      <w:r>
        <w:t>10.1 Salts</w:t>
      </w:r>
    </w:p>
    <w:p w14:paraId="59F31B34" w14:textId="77777777" w:rsidR="007245BB" w:rsidRDefault="00000000">
      <w:pPr>
        <w:pStyle w:val="FirstParagraph"/>
      </w:pPr>
      <w:r>
        <w:t>Salts are formed by proton transfer between an acid and a base. A stable salt usually forms when ΔpKa &gt; 3. Salts often show significantly improved solubility but may be hygroscopic.</w:t>
      </w:r>
    </w:p>
    <w:p w14:paraId="5E6781BD" w14:textId="77777777" w:rsidR="007245BB" w:rsidRDefault="00000000">
      <w:pPr>
        <w:pStyle w:val="Heading3"/>
      </w:pPr>
      <w:bookmarkStart w:id="30" w:name="co-crystals"/>
      <w:bookmarkEnd w:id="29"/>
      <w:r>
        <w:t>10.2 Co-crystals</w:t>
      </w:r>
    </w:p>
    <w:p w14:paraId="43E9266C" w14:textId="77777777" w:rsidR="007245BB" w:rsidRDefault="00000000">
      <w:pPr>
        <w:pStyle w:val="FirstParagraph"/>
      </w:pPr>
      <w:r>
        <w:t>Co-crystals contain a neutral API and a neutral co-former held together by hydrogen bonds. No proton transfer occurs, making them suitable for non-ionizable drugs.</w:t>
      </w:r>
    </w:p>
    <w:p w14:paraId="6273D340" w14:textId="77777777" w:rsidR="007245BB" w:rsidRDefault="00000000">
      <w:pPr>
        <w:pStyle w:val="Heading3"/>
      </w:pPr>
      <w:bookmarkStart w:id="31" w:name="solvates-and-hydrates"/>
      <w:bookmarkEnd w:id="30"/>
      <w:r>
        <w:t>10.3 Solvates and Hydrates</w:t>
      </w:r>
    </w:p>
    <w:p w14:paraId="107C2C2C" w14:textId="77777777" w:rsidR="007245BB" w:rsidRDefault="00000000">
      <w:pPr>
        <w:pStyle w:val="FirstParagraph"/>
      </w:pPr>
      <w:r>
        <w:t>Solvates contain solvent molecules in the crystal lattice. When the solvent is water, they are called hydrates. This relationship is known as pseudopolymorphism. Anhydrous forms generally dissolve faster than hydrates.</w:t>
      </w:r>
    </w:p>
    <w:p w14:paraId="06B7595F" w14:textId="77777777" w:rsidR="007245BB" w:rsidRDefault="00000000">
      <w:r>
        <w:pict w14:anchorId="7297A441">
          <v:rect id="_x0000_i1035" style="width:0;height:1.5pt" o:hralign="center" o:hrstd="t" o:hr="t"/>
        </w:pict>
      </w:r>
    </w:p>
    <w:p w14:paraId="42EC4CA1" w14:textId="77777777" w:rsidR="007245BB" w:rsidRDefault="00000000">
      <w:pPr>
        <w:pStyle w:val="Heading2"/>
      </w:pPr>
      <w:bookmarkStart w:id="32" w:name="stability-challenges-of-amorphous-forms"/>
      <w:bookmarkEnd w:id="28"/>
      <w:bookmarkEnd w:id="31"/>
      <w:r>
        <w:t>11. Stability Challenges of Amorphous Forms</w:t>
      </w:r>
    </w:p>
    <w:p w14:paraId="7E44A263" w14:textId="77777777" w:rsidR="007245BB" w:rsidRDefault="00000000">
      <w:pPr>
        <w:pStyle w:val="FirstParagraph"/>
      </w:pPr>
      <w:r>
        <w:t>Amorphous forms are inherently unstable due to their high energy.</w:t>
      </w:r>
    </w:p>
    <w:p w14:paraId="2A16B15E" w14:textId="77777777" w:rsidR="007245BB" w:rsidRDefault="00000000">
      <w:pPr>
        <w:pStyle w:val="BodyText"/>
      </w:pPr>
      <w:r>
        <w:lastRenderedPageBreak/>
        <w:t xml:space="preserve">Moisture acts as a </w:t>
      </w:r>
      <w:r>
        <w:rPr>
          <w:b/>
          <w:bCs/>
        </w:rPr>
        <w:t>plasticizer</w:t>
      </w:r>
      <w:r>
        <w:t>, lowering Tg and increasing molecular mobility. This can lead to solid-state transformation, especially crystallization.</w:t>
      </w:r>
    </w:p>
    <w:p w14:paraId="439F314C" w14:textId="77777777" w:rsidR="007245BB" w:rsidRDefault="00000000">
      <w:pPr>
        <w:pStyle w:val="BodyText"/>
      </w:pPr>
      <w:r>
        <w:t>Even under dry conditions, molecules slowly relax into lower-energy states over time, altering dissolution behavior and stability.</w:t>
      </w:r>
    </w:p>
    <w:p w14:paraId="4D331BC2" w14:textId="77777777" w:rsidR="007245BB" w:rsidRDefault="00000000">
      <w:r>
        <w:pict w14:anchorId="3E853F62">
          <v:rect id="_x0000_i1036" style="width:0;height:1.5pt" o:hralign="center" o:hrstd="t" o:hr="t"/>
        </w:pict>
      </w:r>
    </w:p>
    <w:p w14:paraId="3CBCB193" w14:textId="77777777" w:rsidR="007245BB" w:rsidRDefault="00000000">
      <w:pPr>
        <w:pStyle w:val="Heading2"/>
      </w:pPr>
      <w:bookmarkStart w:id="33" w:name="X05483089b2db0b5086afe8d2cbd30ecc36eee85"/>
      <w:bookmarkEnd w:id="32"/>
      <w:r>
        <w:t>12. Biopharmaceutical Optimization: The Spring and Parachute Concept</w:t>
      </w:r>
    </w:p>
    <w:p w14:paraId="2DF534E9" w14:textId="77777777" w:rsidR="007245BB" w:rsidRDefault="00000000">
      <w:pPr>
        <w:pStyle w:val="FirstParagraph"/>
      </w:pPr>
      <w:r>
        <w:t xml:space="preserve">Amorphous drugs dissolve rapidly, creating a supersaturated solution known as the </w:t>
      </w:r>
      <w:r>
        <w:rPr>
          <w:b/>
          <w:bCs/>
        </w:rPr>
        <w:t>spring effect</w:t>
      </w:r>
      <w:r>
        <w:t>.</w:t>
      </w:r>
    </w:p>
    <w:p w14:paraId="32FBA6B0" w14:textId="77777777" w:rsidR="007245BB" w:rsidRDefault="00000000">
      <w:pPr>
        <w:pStyle w:val="BodyText"/>
      </w:pPr>
      <w:r>
        <w:t xml:space="preserve">Polymers and surfactants inhibit crystallization and maintain supersaturation, known as the </w:t>
      </w:r>
      <w:r>
        <w:rPr>
          <w:b/>
          <w:bCs/>
        </w:rPr>
        <w:t>parachute effect</w:t>
      </w:r>
      <w:r>
        <w:t>.</w:t>
      </w:r>
    </w:p>
    <w:p w14:paraId="7B3671D2" w14:textId="77777777" w:rsidR="007245BB" w:rsidRDefault="00000000">
      <w:pPr>
        <w:pStyle w:val="BodyText"/>
      </w:pPr>
      <w:r>
        <w:t>If the parachute fails, the drug precipitates in the gastrointestinal tract, leading to poor absorption and therapeutic failure.</w:t>
      </w:r>
    </w:p>
    <w:p w14:paraId="72B974DB" w14:textId="77777777" w:rsidR="007245BB" w:rsidRDefault="00000000">
      <w:r>
        <w:pict w14:anchorId="18DD707D">
          <v:rect id="_x0000_i1037" style="width:0;height:1.5pt" o:hralign="center" o:hrstd="t" o:hr="t"/>
        </w:pict>
      </w:r>
    </w:p>
    <w:p w14:paraId="4FC4E13B" w14:textId="77777777" w:rsidR="007245BB" w:rsidRDefault="00000000">
      <w:pPr>
        <w:pStyle w:val="Heading2"/>
      </w:pPr>
      <w:bookmarkStart w:id="34" w:name="case-study-ritonavir-crisis"/>
      <w:bookmarkEnd w:id="33"/>
      <w:r>
        <w:t>13. Case Study: Ritonavir Crisis</w:t>
      </w:r>
    </w:p>
    <w:p w14:paraId="4F016F05" w14:textId="77777777" w:rsidR="007245BB" w:rsidRDefault="00000000">
      <w:pPr>
        <w:pStyle w:val="FirstParagraph"/>
      </w:pPr>
      <w:r>
        <w:t>The Ritonavir case demonstrated how the appearance of a more stable but less soluble polymorph caused product failure. This highlighted the necessity of exhaustive polymorphic screening and robust solid-form control.</w:t>
      </w:r>
    </w:p>
    <w:p w14:paraId="050D03D0" w14:textId="77777777" w:rsidR="007245BB" w:rsidRDefault="00000000">
      <w:r>
        <w:pict w14:anchorId="023135BE">
          <v:rect id="_x0000_i1038" style="width:0;height:1.5pt" o:hralign="center" o:hrstd="t" o:hr="t"/>
        </w:pict>
      </w:r>
    </w:p>
    <w:p w14:paraId="5F57F2BD" w14:textId="77777777" w:rsidR="007245BB" w:rsidRDefault="00000000">
      <w:pPr>
        <w:pStyle w:val="Heading2"/>
      </w:pPr>
      <w:bookmarkStart w:id="35" w:name="conclusion"/>
      <w:bookmarkEnd w:id="34"/>
      <w:r>
        <w:t>14. Conclusion</w:t>
      </w:r>
    </w:p>
    <w:p w14:paraId="4C0834FF" w14:textId="77777777" w:rsidR="007245BB" w:rsidRDefault="00000000">
      <w:pPr>
        <w:pStyle w:val="FirstParagraph"/>
      </w:pPr>
      <w:r>
        <w:t>Solid-state properties are as important as chemical structure in drug development. A thorough understanding of crystalline and amorphous forms, supported by advanced characterization and risk-based selection, is essential to transform a promising molecule into a safe and effective medicine.</w:t>
      </w:r>
    </w:p>
    <w:p w14:paraId="71E5E989" w14:textId="77777777" w:rsidR="007245BB" w:rsidRDefault="00000000">
      <w:r>
        <w:pict w14:anchorId="34E774B1">
          <v:rect id="_x0000_i1039" style="width:0;height:1.5pt" o:hralign="center" o:hrstd="t" o:hr="t"/>
        </w:pict>
      </w:r>
      <w:bookmarkEnd w:id="0"/>
      <w:bookmarkEnd w:id="35"/>
    </w:p>
    <w:sectPr w:rsidR="007245B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7E8C8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20647E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28615545">
    <w:abstractNumId w:val="0"/>
  </w:num>
  <w:num w:numId="2" w16cid:durableId="208346913">
    <w:abstractNumId w:val="1"/>
  </w:num>
  <w:num w:numId="3" w16cid:durableId="114296777">
    <w:abstractNumId w:val="1"/>
  </w:num>
  <w:num w:numId="4" w16cid:durableId="1974631347">
    <w:abstractNumId w:val="1"/>
  </w:num>
  <w:num w:numId="5" w16cid:durableId="195246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5BB"/>
    <w:rsid w:val="007245BB"/>
    <w:rsid w:val="00A12373"/>
    <w:rsid w:val="00FC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4F40F"/>
  <w15:docId w15:val="{B8B49ECE-0205-4F31-9127-8B92E531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1375</Words>
  <Characters>7838</Characters>
  <Application>Microsoft Office Word</Application>
  <DocSecurity>0</DocSecurity>
  <Lines>65</Lines>
  <Paragraphs>18</Paragraphs>
  <ScaleCrop>false</ScaleCrop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Vishwajeet Ghorpade</cp:lastModifiedBy>
  <cp:revision>2</cp:revision>
  <dcterms:created xsi:type="dcterms:W3CDTF">2026-02-26T06:48:00Z</dcterms:created>
  <dcterms:modified xsi:type="dcterms:W3CDTF">2026-02-26T06:48:00Z</dcterms:modified>
</cp:coreProperties>
</file>