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EA3B1" w14:textId="7642CC66" w:rsidR="00900ADA" w:rsidRPr="00900ADA" w:rsidRDefault="00900ADA" w:rsidP="00900ADA">
      <w:pPr>
        <w:widowControl/>
        <w:autoSpaceDE/>
        <w:autoSpaceDN/>
        <w:spacing w:before="100" w:beforeAutospacing="1" w:after="100" w:afterAutospacing="1" w:line="360" w:lineRule="auto"/>
        <w:outlineLvl w:val="1"/>
        <w:rPr>
          <w:rFonts w:ascii="Times New Roman" w:eastAsia="Calibri" w:hAnsi="Times New Roman" w:cs="Times New Roman"/>
          <w:b/>
          <w:bCs/>
          <w:sz w:val="28"/>
          <w:szCs w:val="28"/>
          <w:lang w:val="en-IN"/>
        </w:rPr>
      </w:pPr>
      <w:r w:rsidRPr="00900ADA">
        <w:rPr>
          <w:rFonts w:ascii="Times New Roman" w:eastAsia="Calibri" w:hAnsi="Times New Roman" w:cs="Times New Roman"/>
          <w:b/>
          <w:bCs/>
          <w:sz w:val="28"/>
          <w:szCs w:val="28"/>
          <w:lang w:val="en-IN"/>
        </w:rPr>
        <w:t>Title of the topic: Plant Growth Promoting Bacteria</w:t>
      </w:r>
      <w:r w:rsidR="007B7A5F">
        <w:rPr>
          <w:rFonts w:ascii="Times New Roman" w:eastAsia="Calibri" w:hAnsi="Times New Roman" w:cs="Times New Roman"/>
          <w:b/>
          <w:bCs/>
          <w:sz w:val="28"/>
          <w:szCs w:val="28"/>
          <w:lang w:val="en-IN"/>
        </w:rPr>
        <w:t xml:space="preserve"> (PGPR)</w:t>
      </w:r>
    </w:p>
    <w:p w14:paraId="1B0A9E69" w14:textId="77777777" w:rsidR="00900ADA" w:rsidRPr="00900ADA" w:rsidRDefault="00900ADA" w:rsidP="00900ADA">
      <w:pPr>
        <w:widowControl/>
        <w:autoSpaceDE/>
        <w:autoSpaceDN/>
        <w:spacing w:before="100" w:beforeAutospacing="1" w:after="100" w:afterAutospacing="1" w:line="360" w:lineRule="auto"/>
        <w:outlineLvl w:val="1"/>
        <w:rPr>
          <w:rFonts w:ascii="Times New Roman" w:eastAsia="Times New Roman" w:hAnsi="Times New Roman" w:cs="Times New Roman"/>
          <w:b/>
          <w:bCs/>
          <w:sz w:val="24"/>
          <w:szCs w:val="24"/>
          <w:lang w:val="en-IN" w:eastAsia="en-IN"/>
        </w:rPr>
      </w:pPr>
      <w:r w:rsidRPr="00900ADA">
        <w:rPr>
          <w:rFonts w:ascii="Times New Roman" w:eastAsia="Times New Roman" w:hAnsi="Times New Roman" w:cs="Times New Roman"/>
          <w:b/>
          <w:bCs/>
          <w:sz w:val="24"/>
          <w:szCs w:val="24"/>
          <w:lang w:val="en-IN" w:eastAsia="en-IN"/>
        </w:rPr>
        <w:t>Short Summary</w:t>
      </w:r>
    </w:p>
    <w:p w14:paraId="016BE536" w14:textId="77777777" w:rsidR="00900ADA" w:rsidRPr="00900ADA" w:rsidRDefault="00900ADA" w:rsidP="00900ADA">
      <w:pPr>
        <w:widowControl/>
        <w:autoSpaceDE/>
        <w:autoSpaceDN/>
        <w:spacing w:before="100" w:beforeAutospacing="1" w:after="100" w:afterAutospacing="1" w:line="360" w:lineRule="auto"/>
        <w:outlineLvl w:val="1"/>
        <w:rPr>
          <w:rFonts w:ascii="Times New Roman" w:eastAsia="Calibri" w:hAnsi="Times New Roman" w:cs="Times New Roman"/>
          <w:sz w:val="24"/>
          <w:szCs w:val="24"/>
          <w:lang w:val="en-IN"/>
        </w:rPr>
      </w:pPr>
      <w:r w:rsidRPr="00900ADA">
        <w:rPr>
          <w:rFonts w:ascii="Calibri" w:eastAsia="Calibri" w:hAnsi="Calibri" w:cs="Times New Roman"/>
          <w:lang w:val="en-IN"/>
        </w:rPr>
        <w:t xml:space="preserve"> </w:t>
      </w:r>
      <w:r w:rsidRPr="00900ADA">
        <w:rPr>
          <w:rFonts w:ascii="Times New Roman" w:eastAsia="Calibri" w:hAnsi="Times New Roman" w:cs="Times New Roman"/>
          <w:sz w:val="24"/>
          <w:szCs w:val="24"/>
          <w:lang w:val="en-IN"/>
        </w:rPr>
        <w:t>Plant growth-promoting rhizobacteria (PGPR) are naturally occurring soil bacteria that colonize plant roots, which is an important environment for plant microbe interactions. PGPR have attracted special attention for their ability to enhance productivity, sustainability and profitability when food security and rural livelihood are a key priority. Chemical fertilizers used in agriculture and pathogenic microorganisms attacking plants show harmful impact on the ecosystem. The potentiality of PGPR offers an attractive way to replace the use of chemical fertilizers, pesticides and other supplements. PGPR affect plant growth and development directly or indirectly, either by releasing plant growth regulators or other biologically active substances, and uptake of nutrients through fixation and mobilization, reducing harmful effects of pathogenic microorganisms on plants and by employing multiple mechanisms of action. Besides they play an important role in soil fertility.</w:t>
      </w:r>
    </w:p>
    <w:p w14:paraId="2344EB89" w14:textId="77777777" w:rsidR="00900ADA" w:rsidRPr="00900ADA" w:rsidRDefault="00900ADA" w:rsidP="00900ADA">
      <w:pPr>
        <w:widowControl/>
        <w:autoSpaceDE/>
        <w:autoSpaceDN/>
        <w:spacing w:before="100" w:beforeAutospacing="1" w:after="100" w:afterAutospacing="1"/>
        <w:outlineLvl w:val="0"/>
        <w:rPr>
          <w:rFonts w:ascii="Times New Roman" w:eastAsia="Times New Roman" w:hAnsi="Times New Roman" w:cs="Times New Roman"/>
          <w:b/>
          <w:bCs/>
          <w:kern w:val="36"/>
          <w:sz w:val="24"/>
          <w:szCs w:val="24"/>
          <w:lang w:val="en-IN" w:eastAsia="en-IN"/>
        </w:rPr>
      </w:pPr>
      <w:r w:rsidRPr="00900ADA">
        <w:rPr>
          <w:rFonts w:ascii="Times New Roman" w:eastAsia="Times New Roman" w:hAnsi="Times New Roman" w:cs="Times New Roman"/>
          <w:b/>
          <w:bCs/>
          <w:kern w:val="36"/>
          <w:sz w:val="24"/>
          <w:szCs w:val="24"/>
          <w:lang w:val="en-IN" w:eastAsia="en-IN"/>
        </w:rPr>
        <w:t>Learning Objectives</w:t>
      </w:r>
    </w:p>
    <w:p w14:paraId="260CB2FA" w14:textId="77777777" w:rsidR="00900ADA" w:rsidRPr="00900ADA" w:rsidRDefault="00900ADA" w:rsidP="00900ADA">
      <w:pPr>
        <w:widowControl/>
        <w:numPr>
          <w:ilvl w:val="0"/>
          <w:numId w:val="2"/>
        </w:numPr>
        <w:autoSpaceDE/>
        <w:autoSpaceDN/>
        <w:spacing w:before="100" w:beforeAutospacing="1" w:after="100" w:afterAutospacing="1" w:line="360" w:lineRule="auto"/>
        <w:rPr>
          <w:rFonts w:ascii="Times New Roman" w:eastAsia="Times New Roman" w:hAnsi="Times New Roman" w:cs="Times New Roman"/>
          <w:sz w:val="24"/>
          <w:szCs w:val="24"/>
          <w:lang w:val="en-IN" w:eastAsia="en-IN"/>
        </w:rPr>
      </w:pPr>
      <w:r w:rsidRPr="00900ADA">
        <w:rPr>
          <w:rFonts w:ascii="Times New Roman" w:eastAsia="Times New Roman" w:hAnsi="Times New Roman" w:cs="Times New Roman"/>
          <w:sz w:val="24"/>
          <w:szCs w:val="24"/>
          <w:lang w:val="en-IN" w:eastAsia="en-IN"/>
        </w:rPr>
        <w:t>To identify key groups of PGPR and their habitats in the root zone (rhizosphere).</w:t>
      </w:r>
    </w:p>
    <w:p w14:paraId="503AD562" w14:textId="4A72AD09" w:rsidR="00900ADA" w:rsidRPr="00900ADA" w:rsidRDefault="00900ADA" w:rsidP="00900ADA">
      <w:pPr>
        <w:widowControl/>
        <w:numPr>
          <w:ilvl w:val="0"/>
          <w:numId w:val="2"/>
        </w:numPr>
        <w:autoSpaceDE/>
        <w:autoSpaceDN/>
        <w:spacing w:before="100" w:beforeAutospacing="1" w:after="100" w:afterAutospacing="1" w:line="360" w:lineRule="auto"/>
        <w:rPr>
          <w:rFonts w:ascii="Times New Roman" w:eastAsia="Times New Roman" w:hAnsi="Times New Roman" w:cs="Times New Roman"/>
          <w:sz w:val="24"/>
          <w:szCs w:val="24"/>
          <w:lang w:val="en-IN" w:eastAsia="en-IN"/>
        </w:rPr>
      </w:pPr>
      <w:r w:rsidRPr="00900ADA">
        <w:rPr>
          <w:rFonts w:ascii="Times New Roman" w:eastAsia="Times New Roman" w:hAnsi="Times New Roman" w:cs="Times New Roman"/>
          <w:sz w:val="24"/>
          <w:szCs w:val="24"/>
          <w:lang w:val="en-IN" w:eastAsia="en-IN"/>
        </w:rPr>
        <w:t xml:space="preserve">To </w:t>
      </w:r>
      <w:r w:rsidR="007A739E" w:rsidRPr="00900ADA">
        <w:rPr>
          <w:rFonts w:ascii="Times New Roman" w:eastAsia="Times New Roman" w:hAnsi="Times New Roman" w:cs="Times New Roman"/>
          <w:sz w:val="24"/>
          <w:szCs w:val="24"/>
          <w:lang w:val="en-IN" w:eastAsia="en-IN"/>
        </w:rPr>
        <w:t>analyse</w:t>
      </w:r>
      <w:r w:rsidRPr="00900ADA">
        <w:rPr>
          <w:rFonts w:ascii="Times New Roman" w:eastAsia="Times New Roman" w:hAnsi="Times New Roman" w:cs="Times New Roman"/>
          <w:sz w:val="24"/>
          <w:szCs w:val="24"/>
          <w:lang w:val="en-IN" w:eastAsia="en-IN"/>
        </w:rPr>
        <w:t xml:space="preserve"> direct mechanisms like nitrogen fixation, phosphate solubilization, and phytohormone production.</w:t>
      </w:r>
      <w:r w:rsidRPr="00900ADA">
        <w:rPr>
          <w:rFonts w:ascii="Calibri" w:eastAsia="Calibri" w:hAnsi="Calibri" w:cs="Times New Roman"/>
          <w:lang w:val="en-IN"/>
        </w:rPr>
        <w:t xml:space="preserve"> </w:t>
      </w:r>
    </w:p>
    <w:p w14:paraId="7C18E767" w14:textId="77777777" w:rsidR="00900ADA" w:rsidRPr="00900ADA" w:rsidRDefault="00900ADA" w:rsidP="00900ADA">
      <w:pPr>
        <w:widowControl/>
        <w:numPr>
          <w:ilvl w:val="0"/>
          <w:numId w:val="2"/>
        </w:numPr>
        <w:autoSpaceDE/>
        <w:autoSpaceDN/>
        <w:spacing w:before="100" w:beforeAutospacing="1" w:after="100" w:afterAutospacing="1" w:line="360" w:lineRule="auto"/>
        <w:rPr>
          <w:rFonts w:ascii="Times New Roman" w:eastAsia="Times New Roman" w:hAnsi="Times New Roman" w:cs="Times New Roman"/>
          <w:sz w:val="24"/>
          <w:szCs w:val="24"/>
          <w:lang w:val="en-IN" w:eastAsia="en-IN"/>
        </w:rPr>
      </w:pPr>
      <w:r w:rsidRPr="00900ADA">
        <w:rPr>
          <w:rFonts w:ascii="Times New Roman" w:eastAsia="Times New Roman" w:hAnsi="Times New Roman" w:cs="Times New Roman"/>
          <w:sz w:val="24"/>
          <w:szCs w:val="24"/>
          <w:lang w:val="en-IN" w:eastAsia="en-IN"/>
        </w:rPr>
        <w:t>To evaluate the role of PGPR in plant growth.</w:t>
      </w:r>
    </w:p>
    <w:p w14:paraId="627257FF" w14:textId="77777777" w:rsidR="00900ADA" w:rsidRPr="00900ADA" w:rsidRDefault="00900ADA" w:rsidP="00900ADA">
      <w:pPr>
        <w:widowControl/>
        <w:autoSpaceDE/>
        <w:autoSpaceDN/>
        <w:spacing w:before="100" w:beforeAutospacing="1" w:after="100" w:afterAutospacing="1"/>
        <w:outlineLvl w:val="0"/>
        <w:rPr>
          <w:rFonts w:ascii="Times New Roman" w:eastAsia="Times New Roman" w:hAnsi="Times New Roman" w:cs="Times New Roman"/>
          <w:b/>
          <w:bCs/>
          <w:kern w:val="36"/>
          <w:sz w:val="24"/>
          <w:szCs w:val="24"/>
          <w:lang w:val="en-IN" w:eastAsia="en-IN"/>
        </w:rPr>
      </w:pPr>
      <w:r w:rsidRPr="00900ADA">
        <w:rPr>
          <w:rFonts w:ascii="Times New Roman" w:eastAsia="Times New Roman" w:hAnsi="Times New Roman" w:cs="Times New Roman"/>
          <w:b/>
          <w:bCs/>
          <w:kern w:val="36"/>
          <w:sz w:val="48"/>
          <w:szCs w:val="48"/>
          <w:lang w:val="en-IN" w:eastAsia="en-IN"/>
        </w:rPr>
        <w:t xml:space="preserve"> </w:t>
      </w:r>
      <w:r w:rsidRPr="00900ADA">
        <w:rPr>
          <w:rFonts w:ascii="Times New Roman" w:eastAsia="Times New Roman" w:hAnsi="Times New Roman" w:cs="Times New Roman"/>
          <w:b/>
          <w:bCs/>
          <w:kern w:val="36"/>
          <w:sz w:val="24"/>
          <w:szCs w:val="24"/>
          <w:lang w:val="en-IN" w:eastAsia="en-IN"/>
        </w:rPr>
        <w:t>Learning Outcomes</w:t>
      </w:r>
    </w:p>
    <w:p w14:paraId="57A6BBF5" w14:textId="77777777" w:rsidR="00900ADA" w:rsidRPr="00900ADA" w:rsidRDefault="00900ADA" w:rsidP="00900ADA">
      <w:pPr>
        <w:widowControl/>
        <w:numPr>
          <w:ilvl w:val="0"/>
          <w:numId w:val="3"/>
        </w:numPr>
        <w:autoSpaceDE/>
        <w:autoSpaceDN/>
        <w:spacing w:before="100" w:beforeAutospacing="1" w:after="100" w:afterAutospacing="1" w:line="360" w:lineRule="auto"/>
        <w:rPr>
          <w:rFonts w:ascii="Times New Roman" w:eastAsia="Times New Roman" w:hAnsi="Times New Roman" w:cs="Times New Roman"/>
          <w:sz w:val="24"/>
          <w:szCs w:val="24"/>
          <w:lang w:val="en-IN" w:eastAsia="en-IN"/>
        </w:rPr>
      </w:pPr>
      <w:r w:rsidRPr="00900ADA">
        <w:rPr>
          <w:rFonts w:ascii="Times New Roman" w:eastAsia="Times New Roman" w:hAnsi="Times New Roman" w:cs="Times New Roman"/>
          <w:sz w:val="24"/>
          <w:szCs w:val="24"/>
          <w:lang w:val="en-IN" w:eastAsia="en-IN"/>
        </w:rPr>
        <w:t xml:space="preserve">Students will explain plant-microbe interactions and root colonization process </w:t>
      </w:r>
    </w:p>
    <w:p w14:paraId="32859C8B" w14:textId="77777777" w:rsidR="00900ADA" w:rsidRPr="00900ADA" w:rsidRDefault="00900ADA" w:rsidP="00900ADA">
      <w:pPr>
        <w:widowControl/>
        <w:numPr>
          <w:ilvl w:val="0"/>
          <w:numId w:val="3"/>
        </w:numPr>
        <w:autoSpaceDE/>
        <w:autoSpaceDN/>
        <w:spacing w:before="100" w:beforeAutospacing="1" w:after="100" w:afterAutospacing="1" w:line="360" w:lineRule="auto"/>
        <w:rPr>
          <w:rFonts w:ascii="Times New Roman" w:eastAsia="Times New Roman" w:hAnsi="Times New Roman" w:cs="Times New Roman"/>
          <w:sz w:val="24"/>
          <w:szCs w:val="24"/>
          <w:lang w:val="en-IN" w:eastAsia="en-IN"/>
        </w:rPr>
      </w:pPr>
      <w:r w:rsidRPr="00900ADA">
        <w:rPr>
          <w:rFonts w:ascii="Times New Roman" w:eastAsia="Times New Roman" w:hAnsi="Times New Roman" w:cs="Times New Roman"/>
          <w:sz w:val="24"/>
          <w:szCs w:val="24"/>
          <w:lang w:val="en-IN" w:eastAsia="en-IN"/>
        </w:rPr>
        <w:t xml:space="preserve">Students will demonstrate knowledge of nutrient cycling improvement through bio-available minerals </w:t>
      </w:r>
    </w:p>
    <w:p w14:paraId="4AD3419C" w14:textId="77777777" w:rsidR="00900ADA" w:rsidRPr="00900ADA" w:rsidRDefault="00900ADA" w:rsidP="00900ADA">
      <w:pPr>
        <w:widowControl/>
        <w:numPr>
          <w:ilvl w:val="0"/>
          <w:numId w:val="3"/>
        </w:numPr>
        <w:autoSpaceDE/>
        <w:autoSpaceDN/>
        <w:spacing w:before="100" w:beforeAutospacing="1" w:after="100" w:afterAutospacing="1" w:line="360" w:lineRule="auto"/>
        <w:outlineLvl w:val="1"/>
        <w:rPr>
          <w:rFonts w:ascii="Times New Roman" w:eastAsia="Times New Roman" w:hAnsi="Times New Roman" w:cs="Times New Roman"/>
          <w:b/>
          <w:bCs/>
          <w:sz w:val="24"/>
          <w:szCs w:val="24"/>
          <w:lang w:val="en-IN" w:eastAsia="en-IN"/>
        </w:rPr>
      </w:pPr>
      <w:r w:rsidRPr="00900ADA">
        <w:rPr>
          <w:rFonts w:ascii="Times New Roman" w:eastAsia="Times New Roman" w:hAnsi="Times New Roman" w:cs="Times New Roman"/>
          <w:sz w:val="24"/>
          <w:szCs w:val="24"/>
          <w:lang w:val="en-IN" w:eastAsia="en-IN"/>
        </w:rPr>
        <w:t>Students will apply the potential of bacterial antagonists in biological control of plant diseases</w:t>
      </w:r>
    </w:p>
    <w:p w14:paraId="3AA40924" w14:textId="77777777" w:rsidR="00900ADA" w:rsidRDefault="00900ADA">
      <w:pPr>
        <w:pStyle w:val="Heading1"/>
        <w:spacing w:before="75"/>
        <w:rPr>
          <w:color w:val="231F1F"/>
        </w:rPr>
      </w:pPr>
    </w:p>
    <w:p w14:paraId="01CB07AD" w14:textId="77777777" w:rsidR="00900ADA" w:rsidRDefault="00900ADA">
      <w:pPr>
        <w:pStyle w:val="Heading1"/>
        <w:spacing w:before="75"/>
        <w:rPr>
          <w:color w:val="231F1F"/>
        </w:rPr>
      </w:pPr>
    </w:p>
    <w:p w14:paraId="3B54EB3B" w14:textId="2C2E698E" w:rsidR="00900ADA" w:rsidRDefault="00900ADA">
      <w:pPr>
        <w:pStyle w:val="Heading1"/>
        <w:spacing w:before="75"/>
        <w:rPr>
          <w:color w:val="231F1F"/>
        </w:rPr>
      </w:pPr>
    </w:p>
    <w:p w14:paraId="0B942503" w14:textId="4D5C8EF3" w:rsidR="00620A85" w:rsidRDefault="00620A85">
      <w:pPr>
        <w:pStyle w:val="Heading1"/>
        <w:spacing w:before="75"/>
        <w:rPr>
          <w:color w:val="231F1F"/>
        </w:rPr>
      </w:pPr>
    </w:p>
    <w:p w14:paraId="72E4D638" w14:textId="4FFB094B" w:rsidR="00620A85" w:rsidRDefault="00620A85">
      <w:pPr>
        <w:pStyle w:val="Heading1"/>
        <w:spacing w:before="75"/>
        <w:rPr>
          <w:color w:val="231F1F"/>
        </w:rPr>
      </w:pPr>
    </w:p>
    <w:p w14:paraId="6CA07243" w14:textId="624C6362" w:rsidR="00620A85" w:rsidRDefault="00620A85">
      <w:pPr>
        <w:pStyle w:val="Heading1"/>
        <w:spacing w:before="75"/>
        <w:rPr>
          <w:color w:val="231F1F"/>
        </w:rPr>
      </w:pPr>
    </w:p>
    <w:p w14:paraId="278D87EF" w14:textId="736C876A" w:rsidR="00620A85" w:rsidRPr="00620A85" w:rsidRDefault="00620A85">
      <w:pPr>
        <w:pStyle w:val="Heading1"/>
        <w:spacing w:before="75"/>
        <w:rPr>
          <w:rFonts w:ascii="Times New Roman" w:hAnsi="Times New Roman" w:cs="Times New Roman"/>
          <w:color w:val="231F1F"/>
        </w:rPr>
      </w:pPr>
      <w:r w:rsidRPr="00620A85">
        <w:rPr>
          <w:rFonts w:ascii="Times New Roman" w:hAnsi="Times New Roman" w:cs="Times New Roman"/>
          <w:color w:val="231F1F"/>
        </w:rPr>
        <w:t>Introduction</w:t>
      </w:r>
    </w:p>
    <w:p w14:paraId="2593D3B6" w14:textId="332DBDAB" w:rsidR="00620A85" w:rsidRPr="00620A85" w:rsidRDefault="00620A85">
      <w:pPr>
        <w:pStyle w:val="Heading1"/>
        <w:spacing w:before="75"/>
        <w:rPr>
          <w:rFonts w:ascii="Times New Roman" w:hAnsi="Times New Roman" w:cs="Times New Roman"/>
          <w:color w:val="231F1F"/>
        </w:rPr>
      </w:pPr>
    </w:p>
    <w:p w14:paraId="6EFADDD4" w14:textId="77777777" w:rsidR="00620A85" w:rsidRPr="00620A85" w:rsidRDefault="00620A85" w:rsidP="00620A85">
      <w:pPr>
        <w:pStyle w:val="Heading1"/>
        <w:spacing w:before="75"/>
        <w:rPr>
          <w:rFonts w:ascii="Times New Roman" w:hAnsi="Times New Roman" w:cs="Times New Roman"/>
        </w:rPr>
      </w:pPr>
      <w:r w:rsidRPr="00620A85">
        <w:rPr>
          <w:rFonts w:ascii="Times New Roman" w:hAnsi="Times New Roman" w:cs="Times New Roman"/>
          <w:color w:val="231F1F"/>
        </w:rPr>
        <w:t>Plant</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Growth</w:t>
      </w:r>
      <w:r w:rsidRPr="00620A85">
        <w:rPr>
          <w:rFonts w:ascii="Times New Roman" w:hAnsi="Times New Roman" w:cs="Times New Roman"/>
          <w:color w:val="231F1F"/>
          <w:spacing w:val="16"/>
        </w:rPr>
        <w:t xml:space="preserve"> </w:t>
      </w:r>
      <w:r w:rsidRPr="00620A85">
        <w:rPr>
          <w:rFonts w:ascii="Times New Roman" w:hAnsi="Times New Roman" w:cs="Times New Roman"/>
          <w:color w:val="231F1F"/>
        </w:rPr>
        <w:t>Promoting</w:t>
      </w:r>
      <w:r w:rsidRPr="00620A85">
        <w:rPr>
          <w:rFonts w:ascii="Times New Roman" w:hAnsi="Times New Roman" w:cs="Times New Roman"/>
          <w:color w:val="231F1F"/>
          <w:spacing w:val="17"/>
        </w:rPr>
        <w:t xml:space="preserve"> </w:t>
      </w:r>
      <w:r w:rsidRPr="00620A85">
        <w:rPr>
          <w:rFonts w:ascii="Times New Roman" w:hAnsi="Times New Roman" w:cs="Times New Roman"/>
          <w:color w:val="231F1F"/>
          <w:spacing w:val="-2"/>
        </w:rPr>
        <w:t>Bacteria</w:t>
      </w:r>
    </w:p>
    <w:p w14:paraId="291D1351" w14:textId="77777777" w:rsidR="00620A85" w:rsidRPr="00620A85" w:rsidRDefault="00620A85" w:rsidP="00620A85">
      <w:pPr>
        <w:pStyle w:val="BodyText"/>
        <w:spacing w:before="141" w:line="369" w:lineRule="auto"/>
        <w:ind w:right="86"/>
        <w:jc w:val="left"/>
        <w:rPr>
          <w:rFonts w:ascii="Times New Roman" w:hAnsi="Times New Roman" w:cs="Times New Roman"/>
        </w:rPr>
      </w:pP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rhizosphere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narrow</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zone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soil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specifically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influenced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root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system This zone is rich in nutrients when compared with the bulk soil due to the accumulation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 xml:space="preserve">of a variety of plant exudates, such as amino acids and sugars, providing a rich source of energy and nutrients for bacteria. </w:t>
      </w:r>
      <w:proofErr w:type="gramStart"/>
      <w:r w:rsidRPr="00620A85">
        <w:rPr>
          <w:rFonts w:ascii="Times New Roman" w:hAnsi="Times New Roman" w:cs="Times New Roman"/>
          <w:color w:val="231F1F"/>
        </w:rPr>
        <w:t>So</w:t>
      </w:r>
      <w:proofErr w:type="gramEnd"/>
      <w:r w:rsidRPr="00620A85">
        <w:rPr>
          <w:rFonts w:ascii="Times New Roman" w:hAnsi="Times New Roman" w:cs="Times New Roman"/>
          <w:color w:val="231F1F"/>
        </w:rPr>
        <w:t xml:space="preserve"> a number of bacteria are found around the roots 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plants,</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generally</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10</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100</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times</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higher</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than</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in</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bulk</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soil.</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rhizosphere</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is populated by a diverse range of microorganisms and the bacteria colonizing this habitat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are called rhizobacteria.</w:t>
      </w:r>
    </w:p>
    <w:p w14:paraId="5B7AC34C" w14:textId="77777777" w:rsidR="00620A85" w:rsidRPr="00620A85" w:rsidRDefault="00620A85" w:rsidP="00620A85">
      <w:pPr>
        <w:pStyle w:val="BodyText"/>
        <w:spacing w:line="369" w:lineRule="auto"/>
        <w:ind w:right="80"/>
        <w:rPr>
          <w:rFonts w:ascii="Times New Roman" w:hAnsi="Times New Roman" w:cs="Times New Roman"/>
        </w:rPr>
      </w:pPr>
      <w:r w:rsidRPr="00620A85">
        <w:rPr>
          <w:rFonts w:ascii="Times New Roman" w:hAnsi="Times New Roman" w:cs="Times New Roman"/>
          <w:color w:val="231F1F"/>
        </w:rPr>
        <w:t>Plant-associated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bacteria</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can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classified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beneficial,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deleterious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neutral groups</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on</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basis</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their</w:t>
      </w:r>
      <w:r w:rsidRPr="00620A85">
        <w:rPr>
          <w:rFonts w:ascii="Times New Roman" w:hAnsi="Times New Roman" w:cs="Times New Roman"/>
          <w:color w:val="231F1F"/>
          <w:spacing w:val="31"/>
        </w:rPr>
        <w:t xml:space="preserve"> </w:t>
      </w:r>
      <w:r w:rsidRPr="00620A85">
        <w:rPr>
          <w:rFonts w:ascii="Times New Roman" w:hAnsi="Times New Roman" w:cs="Times New Roman"/>
          <w:color w:val="231F1F"/>
        </w:rPr>
        <w:t>effects</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on</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plant</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growth.</w:t>
      </w:r>
      <w:r w:rsidRPr="00620A85">
        <w:rPr>
          <w:rFonts w:ascii="Times New Roman" w:hAnsi="Times New Roman" w:cs="Times New Roman"/>
          <w:color w:val="231F1F"/>
          <w:spacing w:val="31"/>
        </w:rPr>
        <w:t xml:space="preserve"> </w:t>
      </w:r>
      <w:r w:rsidRPr="00620A85">
        <w:rPr>
          <w:rFonts w:ascii="Times New Roman" w:hAnsi="Times New Roman" w:cs="Times New Roman"/>
          <w:color w:val="231F1F"/>
        </w:rPr>
        <w:t>Beneficial</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free-living</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soil</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bacteria are usually referred to as plant growth-promoting rhizobacteria (PGPR). Independent of the mechanisms of vegetal growth promotion, PGPRs colonize the rhizosphere, the rhizo plane</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(root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surface),</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or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root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itself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(within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radicular</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tissues).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well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established that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only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1</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2%</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bacteria</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promote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plant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growth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rhizosphere.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Bacteria</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 diverse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genera</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have</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been</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identified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PGPR,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40"/>
        </w:rPr>
        <w:t xml:space="preserve"> </w:t>
      </w:r>
      <w:r w:rsidRPr="00620A85">
        <w:rPr>
          <w:rFonts w:ascii="Times New Roman" w:hAnsi="Times New Roman" w:cs="Times New Roman"/>
          <w:i/>
          <w:color w:val="231F1F"/>
        </w:rPr>
        <w:t>Bacillus</w:t>
      </w:r>
      <w:r w:rsidRPr="00620A85">
        <w:rPr>
          <w:rFonts w:ascii="Times New Roman" w:hAnsi="Times New Roman" w:cs="Times New Roman"/>
          <w:i/>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35"/>
        </w:rPr>
        <w:t xml:space="preserve"> </w:t>
      </w:r>
      <w:r w:rsidRPr="00620A85">
        <w:rPr>
          <w:rFonts w:ascii="Times New Roman" w:hAnsi="Times New Roman" w:cs="Times New Roman"/>
          <w:i/>
          <w:color w:val="231F1F"/>
        </w:rPr>
        <w:t>Pseudomonas</w:t>
      </w:r>
      <w:r w:rsidRPr="00620A85">
        <w:rPr>
          <w:rFonts w:ascii="Times New Roman" w:hAnsi="Times New Roman" w:cs="Times New Roman"/>
          <w:i/>
          <w:color w:val="231F1F"/>
          <w:spacing w:val="40"/>
        </w:rPr>
        <w:t xml:space="preserve"> </w:t>
      </w:r>
      <w:r w:rsidRPr="00620A85">
        <w:rPr>
          <w:rFonts w:ascii="Times New Roman" w:hAnsi="Times New Roman" w:cs="Times New Roman"/>
          <w:color w:val="231F1F"/>
        </w:rPr>
        <w:t>spp. are predominant.</w:t>
      </w:r>
    </w:p>
    <w:p w14:paraId="0FA30F48" w14:textId="77777777" w:rsidR="00620A85" w:rsidRPr="00620A85" w:rsidRDefault="00620A85" w:rsidP="00620A85">
      <w:pPr>
        <w:pStyle w:val="BodyText"/>
        <w:spacing w:line="369" w:lineRule="auto"/>
        <w:ind w:right="82"/>
        <w:rPr>
          <w:rFonts w:ascii="Times New Roman" w:hAnsi="Times New Roman" w:cs="Times New Roman"/>
        </w:rPr>
      </w:pPr>
      <w:r w:rsidRPr="00620A85">
        <w:rPr>
          <w:rFonts w:ascii="Times New Roman" w:hAnsi="Times New Roman" w:cs="Times New Roman"/>
          <w:b/>
          <w:color w:val="231F1F"/>
        </w:rPr>
        <w:t>PGPR affect plant growth in two different ways, indirectly or directly</w:t>
      </w:r>
      <w:r w:rsidRPr="00620A85">
        <w:rPr>
          <w:rFonts w:ascii="Times New Roman" w:hAnsi="Times New Roman" w:cs="Times New Roman"/>
          <w:color w:val="231F1F"/>
        </w:rPr>
        <w:t xml:space="preserve">. The direct promotion of plant growth by PGPR entails either providing the plant with a compound that is synthesized by the bacterium, for example phytohormones, or facilitating the uptake of certain nutrients from the environment. </w:t>
      </w:r>
      <w:r w:rsidRPr="00620A85">
        <w:rPr>
          <w:rFonts w:ascii="Times New Roman" w:hAnsi="Times New Roman" w:cs="Times New Roman"/>
          <w:b/>
          <w:color w:val="231F1F"/>
        </w:rPr>
        <w:t xml:space="preserve">The indirect promotion </w:t>
      </w:r>
      <w:r w:rsidRPr="00620A85">
        <w:rPr>
          <w:rFonts w:ascii="Times New Roman" w:hAnsi="Times New Roman" w:cs="Times New Roman"/>
          <w:color w:val="231F1F"/>
        </w:rPr>
        <w:t>of plant growth occurs when PGPR lessen or prevent the deleterious effects of one or more phytopathogenic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organisms.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can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happen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producing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antagonistic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substances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or by inducing resistance to pathogens. A particular PGPR may affect plant growth and development by using any one, or more, of these mechanisms.</w:t>
      </w:r>
    </w:p>
    <w:p w14:paraId="7D8DFA5F" w14:textId="77777777" w:rsidR="00620A85" w:rsidRPr="00620A85" w:rsidRDefault="00620A85" w:rsidP="00620A85">
      <w:pPr>
        <w:pStyle w:val="BodyText"/>
        <w:spacing w:line="369" w:lineRule="auto"/>
        <w:ind w:right="85"/>
        <w:rPr>
          <w:rFonts w:ascii="Times New Roman" w:hAnsi="Times New Roman" w:cs="Times New Roman"/>
        </w:rPr>
      </w:pPr>
      <w:r w:rsidRPr="00620A85">
        <w:rPr>
          <w:rFonts w:ascii="Times New Roman" w:hAnsi="Times New Roman" w:cs="Times New Roman"/>
          <w:b/>
          <w:color w:val="231F1F"/>
        </w:rPr>
        <w:t>PGPR, as biocontrol agents</w:t>
      </w:r>
      <w:r w:rsidRPr="00620A85">
        <w:rPr>
          <w:rFonts w:ascii="Times New Roman" w:hAnsi="Times New Roman" w:cs="Times New Roman"/>
          <w:color w:val="231F1F"/>
        </w:rPr>
        <w:t>, can act through various mechanisms, regardless of their</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role in direct growth promotion, such as by known production of auxin phytohormone, decrease of plant ethylene levels or nitrogen fixing associated with roots.</w:t>
      </w:r>
    </w:p>
    <w:p w14:paraId="4ACAF7B6" w14:textId="77777777" w:rsidR="00620A85" w:rsidRPr="00620A85" w:rsidRDefault="00620A85" w:rsidP="00620A85">
      <w:pPr>
        <w:pStyle w:val="BodyText"/>
        <w:spacing w:line="369" w:lineRule="auto"/>
        <w:ind w:right="85"/>
        <w:rPr>
          <w:rFonts w:ascii="Times New Roman" w:hAnsi="Times New Roman" w:cs="Times New Roman"/>
        </w:rPr>
      </w:pPr>
      <w:r w:rsidRPr="00620A85">
        <w:rPr>
          <w:rFonts w:ascii="Times New Roman" w:hAnsi="Times New Roman" w:cs="Times New Roman"/>
          <w:color w:val="231F1F"/>
        </w:rPr>
        <w:t>PGPR and their interactions with plants are exploited commercially and hold great promise for sustainable agriculture. Applications of these associations have been investigated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maize,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wheat,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barley,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peas,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canola,</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soy,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potatoes,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tomatoes,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lentils and cucumber.</w:t>
      </w:r>
    </w:p>
    <w:p w14:paraId="678DDBDA" w14:textId="77777777" w:rsidR="00620A85" w:rsidRPr="00620A85" w:rsidRDefault="00620A85" w:rsidP="00620A85">
      <w:pPr>
        <w:pStyle w:val="BodyText"/>
        <w:spacing w:line="369" w:lineRule="auto"/>
        <w:rPr>
          <w:rFonts w:ascii="Times New Roman" w:hAnsi="Times New Roman" w:cs="Times New Roman"/>
        </w:rPr>
        <w:sectPr w:rsidR="00620A85" w:rsidRPr="00620A85">
          <w:footerReference w:type="default" r:id="rId7"/>
          <w:type w:val="continuous"/>
          <w:pgSz w:w="12240" w:h="15840"/>
          <w:pgMar w:top="1280" w:right="1800" w:bottom="280" w:left="1800" w:header="720" w:footer="720" w:gutter="0"/>
          <w:cols w:space="720"/>
        </w:sectPr>
      </w:pPr>
    </w:p>
    <w:p w14:paraId="48383920" w14:textId="77777777" w:rsidR="00620A85" w:rsidRPr="00620A85" w:rsidRDefault="00620A85" w:rsidP="00620A85">
      <w:pPr>
        <w:pStyle w:val="BodyText"/>
        <w:spacing w:before="75" w:line="369" w:lineRule="auto"/>
        <w:ind w:right="85"/>
        <w:rPr>
          <w:rFonts w:ascii="Times New Roman" w:hAnsi="Times New Roman" w:cs="Times New Roman"/>
        </w:rPr>
      </w:pPr>
      <w:r w:rsidRPr="00620A85">
        <w:rPr>
          <w:rFonts w:ascii="Times New Roman" w:hAnsi="Times New Roman" w:cs="Times New Roman"/>
          <w:b/>
          <w:color w:val="231F1F"/>
        </w:rPr>
        <w:lastRenderedPageBreak/>
        <w:t>Microbial Antagonism</w:t>
      </w:r>
      <w:r w:rsidRPr="00620A85">
        <w:rPr>
          <w:rFonts w:ascii="Times New Roman" w:hAnsi="Times New Roman" w:cs="Times New Roman"/>
          <w:b/>
        </w:rPr>
        <w:t>:</w:t>
      </w:r>
      <w:r w:rsidRPr="00620A85">
        <w:rPr>
          <w:rFonts w:ascii="Times New Roman" w:hAnsi="Times New Roman" w:cs="Times New Roman"/>
          <w:b/>
          <w:spacing w:val="40"/>
        </w:rPr>
        <w:t xml:space="preserve"> </w:t>
      </w:r>
      <w:r w:rsidRPr="00620A85">
        <w:rPr>
          <w:rFonts w:ascii="Times New Roman" w:hAnsi="Times New Roman" w:cs="Times New Roman"/>
          <w:color w:val="231F1F"/>
        </w:rPr>
        <w:t xml:space="preserve">Bacteria that reduce the incidence or severity of plant diseases are often referred to as </w:t>
      </w:r>
      <w:r w:rsidRPr="00620A85">
        <w:rPr>
          <w:rFonts w:ascii="Times New Roman" w:hAnsi="Times New Roman" w:cs="Times New Roman"/>
          <w:b/>
          <w:color w:val="231F1F"/>
        </w:rPr>
        <w:t xml:space="preserve">biocontrol agents </w:t>
      </w:r>
      <w:r w:rsidRPr="00620A85">
        <w:rPr>
          <w:rFonts w:ascii="Times New Roman" w:hAnsi="Times New Roman" w:cs="Times New Roman"/>
          <w:color w:val="231F1F"/>
        </w:rPr>
        <w:t>whereas those that exhibit antagonistic</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activity toward a pathogen are defined as antagonists.</w:t>
      </w:r>
    </w:p>
    <w:p w14:paraId="2FF44EED" w14:textId="77777777" w:rsidR="00620A85" w:rsidRPr="00620A85" w:rsidRDefault="00620A85" w:rsidP="00620A85">
      <w:pPr>
        <w:pStyle w:val="BodyText"/>
        <w:spacing w:before="2" w:line="367" w:lineRule="auto"/>
        <w:ind w:right="91"/>
        <w:rPr>
          <w:rFonts w:ascii="Times New Roman" w:hAnsi="Times New Roman" w:cs="Times New Roman"/>
        </w:rPr>
      </w:pPr>
      <w:r w:rsidRPr="00620A85">
        <w:rPr>
          <w:rFonts w:ascii="Times New Roman" w:hAnsi="Times New Roman" w:cs="Times New Roman"/>
          <w:color w:val="231F1F"/>
        </w:rPr>
        <w:t xml:space="preserve">The following rhizospheric environment and bacterial antagonistic activities can be </w:t>
      </w:r>
      <w:r w:rsidRPr="00620A85">
        <w:rPr>
          <w:rFonts w:ascii="Times New Roman" w:hAnsi="Times New Roman" w:cs="Times New Roman"/>
          <w:color w:val="231F1F"/>
          <w:spacing w:val="-2"/>
        </w:rPr>
        <w:t>highlighted:</w:t>
      </w:r>
    </w:p>
    <w:p w14:paraId="4A84ACD1" w14:textId="77777777" w:rsidR="00620A85" w:rsidRPr="00620A85" w:rsidRDefault="00620A85" w:rsidP="00620A85">
      <w:pPr>
        <w:pStyle w:val="ListParagraph"/>
        <w:numPr>
          <w:ilvl w:val="0"/>
          <w:numId w:val="4"/>
        </w:numPr>
        <w:tabs>
          <w:tab w:val="left" w:pos="476"/>
        </w:tabs>
        <w:spacing w:before="2" w:line="369" w:lineRule="auto"/>
        <w:ind w:right="85" w:firstLine="0"/>
        <w:jc w:val="both"/>
        <w:rPr>
          <w:rFonts w:ascii="Times New Roman" w:hAnsi="Times New Roman" w:cs="Times New Roman"/>
        </w:rPr>
      </w:pPr>
      <w:r w:rsidRPr="00620A85">
        <w:rPr>
          <w:rFonts w:ascii="Times New Roman" w:hAnsi="Times New Roman" w:cs="Times New Roman"/>
          <w:color w:val="231F1F"/>
        </w:rPr>
        <w:t>synthesis of hydrolytic enzymes, such as chitinases, glucanases, proteases, 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lipases, that can lyse pathogenic fungal cells</w:t>
      </w:r>
    </w:p>
    <w:p w14:paraId="5EE6BC25" w14:textId="77777777" w:rsidR="00620A85" w:rsidRPr="00620A85" w:rsidRDefault="00620A85" w:rsidP="00620A85">
      <w:pPr>
        <w:pStyle w:val="ListParagraph"/>
        <w:numPr>
          <w:ilvl w:val="0"/>
          <w:numId w:val="4"/>
        </w:numPr>
        <w:tabs>
          <w:tab w:val="left" w:pos="415"/>
        </w:tabs>
        <w:ind w:left="415" w:hanging="343"/>
        <w:jc w:val="both"/>
        <w:rPr>
          <w:rFonts w:ascii="Times New Roman" w:hAnsi="Times New Roman" w:cs="Times New Roman"/>
        </w:rPr>
      </w:pPr>
      <w:r w:rsidRPr="00620A85">
        <w:rPr>
          <w:rFonts w:ascii="Times New Roman" w:hAnsi="Times New Roman" w:cs="Times New Roman"/>
          <w:color w:val="231F1F"/>
        </w:rPr>
        <w:t>competition</w:t>
      </w:r>
      <w:r w:rsidRPr="00620A85">
        <w:rPr>
          <w:rFonts w:ascii="Times New Roman" w:hAnsi="Times New Roman" w:cs="Times New Roman"/>
          <w:color w:val="231F1F"/>
          <w:spacing w:val="8"/>
        </w:rPr>
        <w:t xml:space="preserve"> </w:t>
      </w:r>
      <w:r w:rsidRPr="00620A85">
        <w:rPr>
          <w:rFonts w:ascii="Times New Roman" w:hAnsi="Times New Roman" w:cs="Times New Roman"/>
          <w:color w:val="231F1F"/>
        </w:rPr>
        <w:t>for</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nutrients</w:t>
      </w:r>
      <w:r w:rsidRPr="00620A85">
        <w:rPr>
          <w:rFonts w:ascii="Times New Roman" w:hAnsi="Times New Roman" w:cs="Times New Roman"/>
          <w:color w:val="231F1F"/>
          <w:spacing w:val="11"/>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11"/>
        </w:rPr>
        <w:t xml:space="preserve"> </w:t>
      </w:r>
      <w:r w:rsidRPr="00620A85">
        <w:rPr>
          <w:rFonts w:ascii="Times New Roman" w:hAnsi="Times New Roman" w:cs="Times New Roman"/>
          <w:color w:val="231F1F"/>
        </w:rPr>
        <w:t>suitable</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colonization</w:t>
      </w:r>
      <w:r w:rsidRPr="00620A85">
        <w:rPr>
          <w:rFonts w:ascii="Times New Roman" w:hAnsi="Times New Roman" w:cs="Times New Roman"/>
          <w:color w:val="231F1F"/>
          <w:spacing w:val="7"/>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niches</w:t>
      </w:r>
      <w:r w:rsidRPr="00620A85">
        <w:rPr>
          <w:rFonts w:ascii="Times New Roman" w:hAnsi="Times New Roman" w:cs="Times New Roman"/>
          <w:color w:val="231F1F"/>
          <w:spacing w:val="11"/>
        </w:rPr>
        <w:t xml:space="preserve"> </w:t>
      </w:r>
      <w:r w:rsidRPr="00620A85">
        <w:rPr>
          <w:rFonts w:ascii="Times New Roman" w:hAnsi="Times New Roman" w:cs="Times New Roman"/>
          <w:color w:val="231F1F"/>
        </w:rPr>
        <w:t>at</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root</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spacing w:val="-2"/>
        </w:rPr>
        <w:t>surface,</w:t>
      </w:r>
    </w:p>
    <w:p w14:paraId="54CCB8B3" w14:textId="77777777" w:rsidR="00620A85" w:rsidRPr="00620A85" w:rsidRDefault="00620A85" w:rsidP="00620A85">
      <w:pPr>
        <w:pStyle w:val="ListParagraph"/>
        <w:numPr>
          <w:ilvl w:val="0"/>
          <w:numId w:val="4"/>
        </w:numPr>
        <w:tabs>
          <w:tab w:val="left" w:pos="440"/>
        </w:tabs>
        <w:spacing w:before="139" w:line="369" w:lineRule="auto"/>
        <w:ind w:right="87" w:firstLine="0"/>
        <w:jc w:val="both"/>
        <w:rPr>
          <w:rFonts w:ascii="Times New Roman" w:hAnsi="Times New Roman" w:cs="Times New Roman"/>
        </w:rPr>
      </w:pPr>
      <w:r w:rsidRPr="00620A85">
        <w:rPr>
          <w:rFonts w:ascii="Times New Roman" w:hAnsi="Times New Roman" w:cs="Times New Roman"/>
          <w:color w:val="231F1F"/>
        </w:rPr>
        <w:t>regulation</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plant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ethylene</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levels</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through</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ACC-deaminase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enzyme,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can act to modulate the level of ethylene in a plant in response to stress imposed by the infection, and</w:t>
      </w:r>
    </w:p>
    <w:p w14:paraId="4CD67C06" w14:textId="77777777" w:rsidR="00620A85" w:rsidRPr="00620A85" w:rsidRDefault="00620A85" w:rsidP="00620A85">
      <w:pPr>
        <w:pStyle w:val="ListParagraph"/>
        <w:numPr>
          <w:ilvl w:val="0"/>
          <w:numId w:val="4"/>
        </w:numPr>
        <w:tabs>
          <w:tab w:val="left" w:pos="415"/>
        </w:tabs>
        <w:spacing w:line="254" w:lineRule="exact"/>
        <w:ind w:left="415" w:hanging="343"/>
        <w:jc w:val="both"/>
        <w:rPr>
          <w:rFonts w:ascii="Times New Roman" w:hAnsi="Times New Roman" w:cs="Times New Roman"/>
        </w:rPr>
      </w:pPr>
      <w:r w:rsidRPr="00620A85">
        <w:rPr>
          <w:rFonts w:ascii="Times New Roman" w:hAnsi="Times New Roman" w:cs="Times New Roman"/>
          <w:color w:val="231F1F"/>
        </w:rPr>
        <w:t>production</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16"/>
        </w:rPr>
        <w:t xml:space="preserve"> </w:t>
      </w:r>
      <w:r w:rsidRPr="00620A85">
        <w:rPr>
          <w:rFonts w:ascii="Times New Roman" w:hAnsi="Times New Roman" w:cs="Times New Roman"/>
          <w:color w:val="231F1F"/>
        </w:rPr>
        <w:t>siderophores</w:t>
      </w:r>
      <w:r w:rsidRPr="00620A85">
        <w:rPr>
          <w:rFonts w:ascii="Times New Roman" w:hAnsi="Times New Roman" w:cs="Times New Roman"/>
          <w:color w:val="231F1F"/>
          <w:spacing w:val="15"/>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15"/>
        </w:rPr>
        <w:t xml:space="preserve"> </w:t>
      </w:r>
      <w:r w:rsidRPr="00620A85">
        <w:rPr>
          <w:rFonts w:ascii="Times New Roman" w:hAnsi="Times New Roman" w:cs="Times New Roman"/>
          <w:color w:val="231F1F"/>
          <w:spacing w:val="-2"/>
        </w:rPr>
        <w:t>antibiotics.</w:t>
      </w:r>
    </w:p>
    <w:p w14:paraId="5B60D994" w14:textId="77777777" w:rsidR="00620A85" w:rsidRPr="00620A85" w:rsidRDefault="00620A85" w:rsidP="00620A85">
      <w:pPr>
        <w:pStyle w:val="BodyText"/>
        <w:ind w:left="0"/>
        <w:jc w:val="left"/>
        <w:rPr>
          <w:rFonts w:ascii="Times New Roman" w:hAnsi="Times New Roman" w:cs="Times New Roman"/>
        </w:rPr>
      </w:pPr>
    </w:p>
    <w:p w14:paraId="2D87F615" w14:textId="77777777" w:rsidR="00620A85" w:rsidRPr="00620A85" w:rsidRDefault="00620A85" w:rsidP="00620A85">
      <w:pPr>
        <w:pStyle w:val="BodyText"/>
        <w:spacing w:before="20"/>
        <w:ind w:left="0"/>
        <w:jc w:val="left"/>
        <w:rPr>
          <w:rFonts w:ascii="Times New Roman" w:hAnsi="Times New Roman" w:cs="Times New Roman"/>
        </w:rPr>
      </w:pPr>
    </w:p>
    <w:p w14:paraId="53F84C02" w14:textId="77777777" w:rsidR="00620A85" w:rsidRPr="00620A85" w:rsidRDefault="00620A85" w:rsidP="00620A85">
      <w:pPr>
        <w:pStyle w:val="BodyText"/>
        <w:spacing w:line="369" w:lineRule="auto"/>
        <w:ind w:right="86"/>
        <w:jc w:val="left"/>
        <w:rPr>
          <w:rFonts w:ascii="Times New Roman" w:hAnsi="Times New Roman" w:cs="Times New Roman"/>
        </w:rPr>
      </w:pPr>
      <w:r w:rsidRPr="00620A85">
        <w:rPr>
          <w:rFonts w:ascii="Times New Roman" w:hAnsi="Times New Roman" w:cs="Times New Roman"/>
          <w:b/>
          <w:color w:val="231F1F"/>
        </w:rPr>
        <w:t>Siderophores, bacteriocins, and antibiotics production as antagonistic activities</w:t>
      </w:r>
      <w:r w:rsidRPr="00620A85">
        <w:rPr>
          <w:rFonts w:ascii="Times New Roman" w:hAnsi="Times New Roman" w:cs="Times New Roman"/>
          <w:b/>
          <w:color w:val="231F1F"/>
          <w:spacing w:val="80"/>
          <w:w w:val="150"/>
        </w:rPr>
        <w:t xml:space="preserve"> </w:t>
      </w:r>
      <w:proofErr w:type="gramStart"/>
      <w:r w:rsidRPr="00620A85">
        <w:rPr>
          <w:rFonts w:ascii="Times New Roman" w:hAnsi="Times New Roman" w:cs="Times New Roman"/>
          <w:color w:val="231F1F"/>
        </w:rPr>
        <w:t>The</w:t>
      </w:r>
      <w:proofErr w:type="gramEnd"/>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ability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rhizobacteria</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produce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siderophores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metabolites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contributing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 antibiosis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has</w:t>
      </w:r>
      <w:r w:rsidRPr="00620A85">
        <w:rPr>
          <w:rFonts w:ascii="Times New Roman" w:hAnsi="Times New Roman" w:cs="Times New Roman"/>
          <w:color w:val="231F1F"/>
          <w:spacing w:val="65"/>
        </w:rPr>
        <w:t xml:space="preserve"> </w:t>
      </w:r>
      <w:r w:rsidRPr="00620A85">
        <w:rPr>
          <w:rFonts w:ascii="Times New Roman" w:hAnsi="Times New Roman" w:cs="Times New Roman"/>
          <w:color w:val="231F1F"/>
        </w:rPr>
        <w:t>been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focus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many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studies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dedicated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investigating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PGPR.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uptake of ferric ion via siderophore is largely used by pathogenic and non-pathogenic microorganisms</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from</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soil,</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human</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body</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marine</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environments.</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importance 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siderophore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closely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related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iron,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essential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element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for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different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biological</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processes.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other</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hand,</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bacteria</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can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produce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wide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variety</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of compounds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with</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antimicrobial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activity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used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defense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systems.</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These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include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broad-spectrum antibiotics, lactic acid produced by lactobacilli, lytic agents such as lysozymes,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numerous</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types</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exotoxins</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bacteriocins,</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also</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have</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a</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bactericidal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mode</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of action.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Siderophores,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bacteriocins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antibiotics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three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most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effective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 xml:space="preserve">and </w:t>
      </w:r>
      <w:proofErr w:type="gramStart"/>
      <w:r w:rsidRPr="00620A85">
        <w:rPr>
          <w:rFonts w:ascii="Times New Roman" w:hAnsi="Times New Roman" w:cs="Times New Roman"/>
          <w:color w:val="231F1F"/>
        </w:rPr>
        <w:t>well</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known</w:t>
      </w:r>
      <w:proofErr w:type="gramEnd"/>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mechanisms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antagonist</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can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employ</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minimize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or</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prevent phytopathogenic proliferation.</w:t>
      </w:r>
    </w:p>
    <w:p w14:paraId="7788D465" w14:textId="77777777" w:rsidR="00620A85" w:rsidRPr="00620A85" w:rsidRDefault="00620A85" w:rsidP="00620A85">
      <w:pPr>
        <w:pStyle w:val="BodyText"/>
        <w:spacing w:before="134"/>
        <w:ind w:left="0"/>
        <w:jc w:val="left"/>
        <w:rPr>
          <w:rFonts w:ascii="Times New Roman" w:hAnsi="Times New Roman" w:cs="Times New Roman"/>
        </w:rPr>
      </w:pPr>
    </w:p>
    <w:p w14:paraId="57492791" w14:textId="77777777" w:rsidR="00620A85" w:rsidRPr="00620A85" w:rsidRDefault="00620A85" w:rsidP="00620A85">
      <w:pPr>
        <w:pStyle w:val="Heading1"/>
        <w:spacing w:before="1"/>
        <w:rPr>
          <w:rFonts w:ascii="Times New Roman" w:hAnsi="Times New Roman" w:cs="Times New Roman"/>
        </w:rPr>
      </w:pPr>
      <w:r w:rsidRPr="00620A85">
        <w:rPr>
          <w:rFonts w:ascii="Times New Roman" w:hAnsi="Times New Roman" w:cs="Times New Roman"/>
          <w:color w:val="231F1F"/>
          <w:spacing w:val="-2"/>
        </w:rPr>
        <w:t>Siderophores</w:t>
      </w:r>
    </w:p>
    <w:p w14:paraId="2C7FCFB3" w14:textId="77777777" w:rsidR="00620A85" w:rsidRPr="00620A85" w:rsidRDefault="00620A85" w:rsidP="00620A85">
      <w:pPr>
        <w:pStyle w:val="BodyText"/>
        <w:spacing w:before="138" w:line="369" w:lineRule="auto"/>
        <w:ind w:right="86"/>
        <w:rPr>
          <w:rFonts w:ascii="Times New Roman" w:hAnsi="Times New Roman" w:cs="Times New Roman"/>
        </w:rPr>
      </w:pPr>
      <w:r w:rsidRPr="00620A85">
        <w:rPr>
          <w:rFonts w:ascii="Times New Roman" w:hAnsi="Times New Roman" w:cs="Times New Roman"/>
          <w:color w:val="231F1F"/>
        </w:rPr>
        <w:t>To satisfy nutritional requirements of iron, microorganisms have evolved highly specific pathways that employ low molecular weight iron chelators termed siderophores. Siderophores are secreted to solubilize iron from their surrounding environments, forming a complex ferric-siderophore that can move by diffusion and be returned to the cell</w:t>
      </w:r>
      <w:r w:rsidRPr="00620A85">
        <w:rPr>
          <w:rFonts w:ascii="Times New Roman" w:hAnsi="Times New Roman" w:cs="Times New Roman"/>
          <w:color w:val="231F1F"/>
          <w:spacing w:val="60"/>
          <w:w w:val="150"/>
        </w:rPr>
        <w:t xml:space="preserve"> </w:t>
      </w:r>
      <w:r w:rsidRPr="00620A85">
        <w:rPr>
          <w:rFonts w:ascii="Times New Roman" w:hAnsi="Times New Roman" w:cs="Times New Roman"/>
          <w:color w:val="231F1F"/>
        </w:rPr>
        <w:t>surface.</w:t>
      </w:r>
      <w:r w:rsidRPr="00620A85">
        <w:rPr>
          <w:rFonts w:ascii="Times New Roman" w:hAnsi="Times New Roman" w:cs="Times New Roman"/>
          <w:color w:val="231F1F"/>
          <w:spacing w:val="60"/>
          <w:w w:val="15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61"/>
          <w:w w:val="150"/>
        </w:rPr>
        <w:t xml:space="preserve"> </w:t>
      </w:r>
      <w:r w:rsidRPr="00620A85">
        <w:rPr>
          <w:rFonts w:ascii="Times New Roman" w:hAnsi="Times New Roman" w:cs="Times New Roman"/>
          <w:color w:val="231F1F"/>
        </w:rPr>
        <w:t>active</w:t>
      </w:r>
      <w:r w:rsidRPr="00620A85">
        <w:rPr>
          <w:rFonts w:ascii="Times New Roman" w:hAnsi="Times New Roman" w:cs="Times New Roman"/>
          <w:color w:val="231F1F"/>
          <w:spacing w:val="61"/>
          <w:w w:val="150"/>
        </w:rPr>
        <w:t xml:space="preserve"> </w:t>
      </w:r>
      <w:r w:rsidRPr="00620A85">
        <w:rPr>
          <w:rFonts w:ascii="Times New Roman" w:hAnsi="Times New Roman" w:cs="Times New Roman"/>
          <w:color w:val="231F1F"/>
        </w:rPr>
        <w:t>transport</w:t>
      </w:r>
      <w:r w:rsidRPr="00620A85">
        <w:rPr>
          <w:rFonts w:ascii="Times New Roman" w:hAnsi="Times New Roman" w:cs="Times New Roman"/>
          <w:color w:val="231F1F"/>
          <w:spacing w:val="59"/>
          <w:w w:val="150"/>
        </w:rPr>
        <w:t xml:space="preserve"> </w:t>
      </w:r>
      <w:r w:rsidRPr="00620A85">
        <w:rPr>
          <w:rFonts w:ascii="Times New Roman" w:hAnsi="Times New Roman" w:cs="Times New Roman"/>
          <w:color w:val="231F1F"/>
        </w:rPr>
        <w:t>system</w:t>
      </w:r>
      <w:r w:rsidRPr="00620A85">
        <w:rPr>
          <w:rFonts w:ascii="Times New Roman" w:hAnsi="Times New Roman" w:cs="Times New Roman"/>
          <w:color w:val="231F1F"/>
          <w:spacing w:val="58"/>
          <w:w w:val="150"/>
        </w:rPr>
        <w:t xml:space="preserve"> </w:t>
      </w:r>
      <w:r w:rsidRPr="00620A85">
        <w:rPr>
          <w:rFonts w:ascii="Times New Roman" w:hAnsi="Times New Roman" w:cs="Times New Roman"/>
          <w:color w:val="231F1F"/>
        </w:rPr>
        <w:t>through</w:t>
      </w:r>
      <w:r w:rsidRPr="00620A85">
        <w:rPr>
          <w:rFonts w:ascii="Times New Roman" w:hAnsi="Times New Roman" w:cs="Times New Roman"/>
          <w:color w:val="231F1F"/>
          <w:spacing w:val="61"/>
          <w:w w:val="15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61"/>
          <w:w w:val="150"/>
        </w:rPr>
        <w:t xml:space="preserve"> </w:t>
      </w:r>
      <w:r w:rsidRPr="00620A85">
        <w:rPr>
          <w:rFonts w:ascii="Times New Roman" w:hAnsi="Times New Roman" w:cs="Times New Roman"/>
          <w:color w:val="231F1F"/>
        </w:rPr>
        <w:t>membrane</w:t>
      </w:r>
      <w:r w:rsidRPr="00620A85">
        <w:rPr>
          <w:rFonts w:ascii="Times New Roman" w:hAnsi="Times New Roman" w:cs="Times New Roman"/>
          <w:color w:val="231F1F"/>
          <w:spacing w:val="63"/>
          <w:w w:val="150"/>
        </w:rPr>
        <w:t xml:space="preserve"> </w:t>
      </w:r>
      <w:r w:rsidRPr="00620A85">
        <w:rPr>
          <w:rFonts w:ascii="Times New Roman" w:hAnsi="Times New Roman" w:cs="Times New Roman"/>
          <w:color w:val="231F1F"/>
        </w:rPr>
        <w:t>begins</w:t>
      </w:r>
      <w:r w:rsidRPr="00620A85">
        <w:rPr>
          <w:rFonts w:ascii="Times New Roman" w:hAnsi="Times New Roman" w:cs="Times New Roman"/>
          <w:color w:val="231F1F"/>
          <w:spacing w:val="60"/>
          <w:w w:val="150"/>
        </w:rPr>
        <w:t xml:space="preserve"> </w:t>
      </w:r>
      <w:r w:rsidRPr="00620A85">
        <w:rPr>
          <w:rFonts w:ascii="Times New Roman" w:hAnsi="Times New Roman" w:cs="Times New Roman"/>
          <w:color w:val="231F1F"/>
        </w:rPr>
        <w:t>with</w:t>
      </w:r>
      <w:r w:rsidRPr="00620A85">
        <w:rPr>
          <w:rFonts w:ascii="Times New Roman" w:hAnsi="Times New Roman" w:cs="Times New Roman"/>
          <w:color w:val="231F1F"/>
          <w:spacing w:val="61"/>
          <w:w w:val="150"/>
        </w:rPr>
        <w:t xml:space="preserve"> </w:t>
      </w:r>
      <w:r w:rsidRPr="00620A85">
        <w:rPr>
          <w:rFonts w:ascii="Times New Roman" w:hAnsi="Times New Roman" w:cs="Times New Roman"/>
          <w:color w:val="231F1F"/>
          <w:spacing w:val="-5"/>
        </w:rPr>
        <w:t>the</w:t>
      </w:r>
    </w:p>
    <w:p w14:paraId="3E4FE0B1" w14:textId="77777777" w:rsidR="00620A85" w:rsidRPr="00620A85" w:rsidRDefault="00620A85" w:rsidP="00620A85">
      <w:pPr>
        <w:pStyle w:val="BodyText"/>
        <w:spacing w:line="369" w:lineRule="auto"/>
        <w:rPr>
          <w:rFonts w:ascii="Times New Roman" w:hAnsi="Times New Roman" w:cs="Times New Roman"/>
        </w:rPr>
        <w:sectPr w:rsidR="00620A85" w:rsidRPr="00620A85">
          <w:pgSz w:w="12240" w:h="15840"/>
          <w:pgMar w:top="1280" w:right="1800" w:bottom="280" w:left="1800" w:header="720" w:footer="720" w:gutter="0"/>
          <w:cols w:space="720"/>
        </w:sectPr>
      </w:pPr>
    </w:p>
    <w:p w14:paraId="196BB7E6" w14:textId="77777777" w:rsidR="00620A85" w:rsidRPr="00620A85" w:rsidRDefault="00620A85" w:rsidP="00620A85">
      <w:pPr>
        <w:pStyle w:val="BodyText"/>
        <w:spacing w:before="75" w:line="369" w:lineRule="auto"/>
        <w:ind w:right="83"/>
        <w:rPr>
          <w:rFonts w:ascii="Times New Roman" w:hAnsi="Times New Roman" w:cs="Times New Roman"/>
        </w:rPr>
      </w:pPr>
      <w:r w:rsidRPr="00620A85">
        <w:rPr>
          <w:rFonts w:ascii="Times New Roman" w:hAnsi="Times New Roman" w:cs="Times New Roman"/>
          <w:color w:val="231F1F"/>
        </w:rPr>
        <w:lastRenderedPageBreak/>
        <w:t>recognition of the ferric-siderophore by specific membrane receptors of Gram-negative and Gram-positive bacteria. Siderophores can chelate ferric ion with high affinity,</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allowing its solubilisation and extraction from most mineral or organic complexes. In aerobic conditions at physiological pH, the reduced ferrous (Fe) form is unstable and is readily oxidized to the oxidized ferric (Fe) form, which normally occurs as a poorly</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soluble iron hydroxide basically unavailable to biological systems. Siderophores can be defined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small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peptidic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molecules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containing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side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chains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functional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groups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that can provide a high-affinity set of ligands to coordinate ferric ions. Based on their iron-coordinating functional groups, structural features and types of ligands, bacterial siderophores have been classified into four main classes (carboxylate, hydroxamates, phenol catecholates and pyoverdines). Hundreds of siderophores have been identified</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and reported for cultivable microorganisms, some of which are widely recognized and used by different microorganisms, while others are species-specific. In soil, siderophore production activity plays a central role in determining the ability of different microorganisms to improve plant development. Microbial siderophores enhance iron uptake by plants that are able to recognize the bacterial ferric-siderophore complex and are also important in the iron uptake by plants in the presence of other metals such as nickel and cadmium. However, it is still unclear if bacterial siderophore complexes can significantly contribute to the iron requirements of the plant. Siderophore production confers competitive advantages to PGPR that can colonize roots and exclude other microorganisms from this ecological niche. Under highly competitive conditions, the ability to acquire iron via siderophores may determine the outcome of competition for different carbon sources that are available as a result of root exudation or</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rhizodeposition. Among most of the bacterial siderophores studied, those produced by pseudomonads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known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for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their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high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affinity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ferric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 xml:space="preserve">potent siderophore, pyoverdin, for example, can inhibit the growth of bacteria and fungi that present less potent siderophores in iron-depleted media </w:t>
      </w:r>
      <w:r w:rsidRPr="00620A85">
        <w:rPr>
          <w:rFonts w:ascii="Times New Roman" w:hAnsi="Times New Roman" w:cs="Times New Roman"/>
          <w:i/>
          <w:color w:val="231F1F"/>
        </w:rPr>
        <w:t>in vitro</w:t>
      </w:r>
      <w:r w:rsidRPr="00620A85">
        <w:rPr>
          <w:rFonts w:ascii="Times New Roman" w:hAnsi="Times New Roman" w:cs="Times New Roman"/>
          <w:color w:val="231F1F"/>
        </w:rPr>
        <w:t xml:space="preserve">. A pseudobactin siderophore produced by </w:t>
      </w:r>
      <w:r w:rsidRPr="00620A85">
        <w:rPr>
          <w:rFonts w:ascii="Times New Roman" w:hAnsi="Times New Roman" w:cs="Times New Roman"/>
          <w:i/>
          <w:color w:val="231F1F"/>
        </w:rPr>
        <w:t xml:space="preserve">P. putida </w:t>
      </w:r>
      <w:r w:rsidRPr="00620A85">
        <w:rPr>
          <w:rFonts w:ascii="Times New Roman" w:hAnsi="Times New Roman" w:cs="Times New Roman"/>
          <w:color w:val="231F1F"/>
        </w:rPr>
        <w:t xml:space="preserve">B10 strain was also able to suppress </w:t>
      </w:r>
      <w:r w:rsidRPr="00620A85">
        <w:rPr>
          <w:rFonts w:ascii="Times New Roman" w:hAnsi="Times New Roman" w:cs="Times New Roman"/>
          <w:i/>
          <w:color w:val="231F1F"/>
        </w:rPr>
        <w:t xml:space="preserve">Fusarium oxysporum </w:t>
      </w:r>
      <w:r w:rsidRPr="00620A85">
        <w:rPr>
          <w:rFonts w:ascii="Times New Roman" w:hAnsi="Times New Roman" w:cs="Times New Roman"/>
          <w:color w:val="231F1F"/>
        </w:rPr>
        <w:t>in soil deficient in iron; this suppression was lost when the soil was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replenished with iron, a condition that represses the production of iron chelators by microorganisms.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Recent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studies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have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demonstrated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suppression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soil-borne fungal pathogens through the release of ironchelating siderophores by fluorescent pseudomonads, rendering it unavailable to other organisms.</w:t>
      </w:r>
    </w:p>
    <w:p w14:paraId="547AC4FA" w14:textId="77777777" w:rsidR="00620A85" w:rsidRPr="00620A85" w:rsidRDefault="00620A85" w:rsidP="00620A85">
      <w:pPr>
        <w:pStyle w:val="BodyText"/>
        <w:spacing w:line="369" w:lineRule="auto"/>
        <w:rPr>
          <w:rFonts w:ascii="Times New Roman" w:hAnsi="Times New Roman" w:cs="Times New Roman"/>
        </w:rPr>
        <w:sectPr w:rsidR="00620A85" w:rsidRPr="00620A85">
          <w:pgSz w:w="12240" w:h="15840"/>
          <w:pgMar w:top="1280" w:right="1800" w:bottom="280" w:left="1800" w:header="720" w:footer="720" w:gutter="0"/>
          <w:cols w:space="720"/>
        </w:sectPr>
      </w:pPr>
    </w:p>
    <w:p w14:paraId="04E37D2C" w14:textId="77777777" w:rsidR="00620A85" w:rsidRPr="00620A85" w:rsidRDefault="00620A85" w:rsidP="00620A85">
      <w:pPr>
        <w:pStyle w:val="Heading1"/>
        <w:spacing w:before="75"/>
        <w:rPr>
          <w:rFonts w:ascii="Times New Roman" w:hAnsi="Times New Roman" w:cs="Times New Roman"/>
        </w:rPr>
      </w:pPr>
      <w:r w:rsidRPr="00620A85">
        <w:rPr>
          <w:rFonts w:ascii="Times New Roman" w:hAnsi="Times New Roman" w:cs="Times New Roman"/>
          <w:color w:val="231F1F"/>
          <w:spacing w:val="-2"/>
        </w:rPr>
        <w:lastRenderedPageBreak/>
        <w:t>Antibiotics</w:t>
      </w:r>
    </w:p>
    <w:p w14:paraId="2645A600" w14:textId="77777777" w:rsidR="00620A85" w:rsidRPr="00620A85" w:rsidRDefault="00620A85" w:rsidP="00620A85">
      <w:pPr>
        <w:pStyle w:val="BodyText"/>
        <w:spacing w:before="141" w:line="369" w:lineRule="auto"/>
        <w:ind w:right="81"/>
        <w:jc w:val="left"/>
        <w:rPr>
          <w:rFonts w:ascii="Times New Roman" w:hAnsi="Times New Roman" w:cs="Times New Roman"/>
        </w:rPr>
      </w:pPr>
      <w:r w:rsidRPr="00620A85">
        <w:rPr>
          <w:rFonts w:ascii="Times New Roman" w:hAnsi="Times New Roman" w:cs="Times New Roman"/>
          <w:color w:val="231F1F"/>
        </w:rPr>
        <w:t>Besides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siderophore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production,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biocontrol</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abilities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pseudomonas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strains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essentially depend</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on aggressive</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root</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colonization,</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induction</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systemic</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resistance</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in the</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plant,</w:t>
      </w:r>
      <w:r w:rsidRPr="00620A85">
        <w:rPr>
          <w:rFonts w:ascii="Times New Roman" w:hAnsi="Times New Roman" w:cs="Times New Roman"/>
          <w:color w:val="231F1F"/>
          <w:spacing w:val="7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production</w:t>
      </w:r>
      <w:r w:rsidRPr="00620A85">
        <w:rPr>
          <w:rFonts w:ascii="Times New Roman" w:hAnsi="Times New Roman" w:cs="Times New Roman"/>
          <w:color w:val="231F1F"/>
          <w:spacing w:val="67"/>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66"/>
        </w:rPr>
        <w:t xml:space="preserve"> </w:t>
      </w:r>
      <w:r w:rsidRPr="00620A85">
        <w:rPr>
          <w:rFonts w:ascii="Times New Roman" w:hAnsi="Times New Roman" w:cs="Times New Roman"/>
          <w:color w:val="231F1F"/>
        </w:rPr>
        <w:t>antifungal</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antibiotics.</w:t>
      </w:r>
      <w:r w:rsidRPr="00620A85">
        <w:rPr>
          <w:rFonts w:ascii="Times New Roman" w:hAnsi="Times New Roman" w:cs="Times New Roman"/>
          <w:color w:val="231F1F"/>
          <w:spacing w:val="67"/>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production</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one</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or</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more antibiotics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mechanism</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most</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commonly</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associated</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with</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ability</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plant growth-promoting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bacteria</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act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antagonistic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agents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against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phytopathogens.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 basis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antibiosis,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activity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biocontrol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based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secretion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molecules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kill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or reduce</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growth</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target</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pathogen,</w:t>
      </w:r>
      <w:r w:rsidRPr="00620A85">
        <w:rPr>
          <w:rFonts w:ascii="Times New Roman" w:hAnsi="Times New Roman" w:cs="Times New Roman"/>
          <w:color w:val="231F1F"/>
          <w:spacing w:val="25"/>
        </w:rPr>
        <w:t xml:space="preserve"> </w:t>
      </w:r>
      <w:r w:rsidRPr="00620A85">
        <w:rPr>
          <w:rFonts w:ascii="Times New Roman" w:hAnsi="Times New Roman" w:cs="Times New Roman"/>
          <w:color w:val="231F1F"/>
        </w:rPr>
        <w:t>has</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become</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better</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understood</w:t>
      </w:r>
      <w:r w:rsidRPr="00620A85">
        <w:rPr>
          <w:rFonts w:ascii="Times New Roman" w:hAnsi="Times New Roman" w:cs="Times New Roman"/>
          <w:color w:val="231F1F"/>
          <w:spacing w:val="25"/>
        </w:rPr>
        <w:t xml:space="preserve"> </w:t>
      </w:r>
      <w:r w:rsidRPr="00620A85">
        <w:rPr>
          <w:rFonts w:ascii="Times New Roman" w:hAnsi="Times New Roman" w:cs="Times New Roman"/>
          <w:color w:val="231F1F"/>
        </w:rPr>
        <w:t>over</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past two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decades.</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Antibiotics</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encompass</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a</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heterogeneous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group</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organic,</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low-molecular-weight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compounds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deleterious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growth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metabolic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activities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other microorganisms.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Six</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classes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antibiotic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compounds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(for</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their</w:t>
      </w:r>
      <w:r w:rsidRPr="00620A85">
        <w:rPr>
          <w:rFonts w:ascii="Times New Roman" w:hAnsi="Times New Roman" w:cs="Times New Roman"/>
          <w:color w:val="231F1F"/>
          <w:spacing w:val="39"/>
        </w:rPr>
        <w:t xml:space="preserve"> </w:t>
      </w:r>
      <w:r w:rsidRPr="00620A85">
        <w:rPr>
          <w:rFonts w:ascii="Times New Roman" w:hAnsi="Times New Roman" w:cs="Times New Roman"/>
          <w:color w:val="231F1F"/>
        </w:rPr>
        <w:t>modes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action are partly understood) are better related to the biocontrol of root diseases: phenazines,</w:t>
      </w:r>
      <w:r w:rsidRPr="00620A85">
        <w:rPr>
          <w:rFonts w:ascii="Times New Roman" w:hAnsi="Times New Roman" w:cs="Times New Roman"/>
          <w:color w:val="231F1F"/>
          <w:spacing w:val="80"/>
        </w:rPr>
        <w:t xml:space="preserve"> </w:t>
      </w:r>
      <w:proofErr w:type="gramStart"/>
      <w:r w:rsidRPr="00620A85">
        <w:rPr>
          <w:rFonts w:ascii="Times New Roman" w:hAnsi="Times New Roman" w:cs="Times New Roman"/>
          <w:color w:val="231F1F"/>
        </w:rPr>
        <w:t>phloroglucinols,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pyoluteorin</w:t>
      </w:r>
      <w:proofErr w:type="gramEnd"/>
      <w:r w:rsidRPr="00620A85">
        <w:rPr>
          <w:rFonts w:ascii="Times New Roman" w:hAnsi="Times New Roman" w:cs="Times New Roman"/>
          <w:color w:val="231F1F"/>
        </w:rPr>
        <w: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pyrrolnitrin,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cyclic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lipopeptides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(all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are diffusible)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hydrogen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cyanide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(HCN;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volatile).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More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recently,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lipopeptide biosurfactants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produced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by</w:t>
      </w:r>
      <w:r w:rsidRPr="00620A85">
        <w:rPr>
          <w:rFonts w:ascii="Times New Roman" w:hAnsi="Times New Roman" w:cs="Times New Roman"/>
          <w:color w:val="231F1F"/>
          <w:spacing w:val="40"/>
        </w:rPr>
        <w:t xml:space="preserve"> </w:t>
      </w:r>
      <w:r w:rsidRPr="00620A85">
        <w:rPr>
          <w:rFonts w:ascii="Times New Roman" w:hAnsi="Times New Roman" w:cs="Times New Roman"/>
          <w:i/>
          <w:color w:val="231F1F"/>
        </w:rPr>
        <w:t>Pseudomonas</w:t>
      </w:r>
      <w:r w:rsidRPr="00620A85">
        <w:rPr>
          <w:rFonts w:ascii="Times New Roman" w:hAnsi="Times New Roman" w:cs="Times New Roman"/>
          <w:i/>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i/>
          <w:color w:val="231F1F"/>
        </w:rPr>
        <w:t>Bacillus</w:t>
      </w:r>
      <w:r w:rsidRPr="00620A85">
        <w:rPr>
          <w:rFonts w:ascii="Times New Roman" w:hAnsi="Times New Roman" w:cs="Times New Roman"/>
          <w:i/>
          <w:color w:val="231F1F"/>
          <w:spacing w:val="40"/>
        </w:rPr>
        <w:t xml:space="preserve"> </w:t>
      </w:r>
      <w:r w:rsidRPr="00620A85">
        <w:rPr>
          <w:rFonts w:ascii="Times New Roman" w:hAnsi="Times New Roman" w:cs="Times New Roman"/>
          <w:color w:val="231F1F"/>
        </w:rPr>
        <w:t>species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have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been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implied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biocontrol</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due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their</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potential</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positive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effect</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on</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competitive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interactions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with organisms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including</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bacteria,</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fungi,</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oomycetes,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protozoa,</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nematodes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plants.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Numerous</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types</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of antibiotics</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have</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been</w:t>
      </w:r>
      <w:r w:rsidRPr="00620A85">
        <w:rPr>
          <w:rFonts w:ascii="Times New Roman" w:hAnsi="Times New Roman" w:cs="Times New Roman"/>
          <w:color w:val="231F1F"/>
          <w:spacing w:val="27"/>
        </w:rPr>
        <w:t xml:space="preserve"> </w:t>
      </w:r>
      <w:r w:rsidRPr="00620A85">
        <w:rPr>
          <w:rFonts w:ascii="Times New Roman" w:hAnsi="Times New Roman" w:cs="Times New Roman"/>
          <w:color w:val="231F1F"/>
        </w:rPr>
        <w:t>isolated</w:t>
      </w:r>
      <w:r w:rsidRPr="00620A85">
        <w:rPr>
          <w:rFonts w:ascii="Times New Roman" w:hAnsi="Times New Roman" w:cs="Times New Roman"/>
          <w:color w:val="231F1F"/>
          <w:spacing w:val="25"/>
        </w:rPr>
        <w:t xml:space="preserve"> </w:t>
      </w:r>
      <w:r w:rsidRPr="00620A85">
        <w:rPr>
          <w:rFonts w:ascii="Times New Roman" w:hAnsi="Times New Roman" w:cs="Times New Roman"/>
          <w:color w:val="231F1F"/>
        </w:rPr>
        <w:t>from</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fungal</w:t>
      </w:r>
      <w:r w:rsidRPr="00620A85">
        <w:rPr>
          <w:rFonts w:ascii="Times New Roman" w:hAnsi="Times New Roman" w:cs="Times New Roman"/>
          <w:color w:val="231F1F"/>
          <w:spacing w:val="31"/>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bacterial</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strains</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and this</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diversity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includes</w:t>
      </w:r>
      <w:r w:rsidRPr="00620A85">
        <w:rPr>
          <w:rFonts w:ascii="Times New Roman" w:hAnsi="Times New Roman" w:cs="Times New Roman"/>
          <w:color w:val="231F1F"/>
          <w:spacing w:val="71"/>
        </w:rPr>
        <w:t xml:space="preserve"> </w:t>
      </w:r>
      <w:r w:rsidRPr="00620A85">
        <w:rPr>
          <w:rFonts w:ascii="Times New Roman" w:hAnsi="Times New Roman" w:cs="Times New Roman"/>
          <w:color w:val="231F1F"/>
        </w:rPr>
        <w:t>mechanisms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action</w:t>
      </w:r>
      <w:r w:rsidRPr="00620A85">
        <w:rPr>
          <w:rFonts w:ascii="Times New Roman" w:hAnsi="Times New Roman" w:cs="Times New Roman"/>
          <w:color w:val="231F1F"/>
          <w:spacing w:val="69"/>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inhibit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synthesis</w:t>
      </w:r>
      <w:r w:rsidRPr="00620A85">
        <w:rPr>
          <w:rFonts w:ascii="Times New Roman" w:hAnsi="Times New Roman" w:cs="Times New Roman"/>
          <w:color w:val="231F1F"/>
          <w:spacing w:val="68"/>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70"/>
        </w:rPr>
        <w:t xml:space="preserve"> </w:t>
      </w:r>
      <w:r w:rsidRPr="00620A85">
        <w:rPr>
          <w:rFonts w:ascii="Times New Roman" w:hAnsi="Times New Roman" w:cs="Times New Roman"/>
          <w:color w:val="231F1F"/>
        </w:rPr>
        <w:t>pathogen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cell walls,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influence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membrane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structures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cells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inhibit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formation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initiation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complexes on the small subunit of the ribosome. Pyrrolnitrin, the antibiotic produced by the</w:t>
      </w:r>
      <w:r w:rsidRPr="00620A85">
        <w:rPr>
          <w:rFonts w:ascii="Times New Roman" w:hAnsi="Times New Roman" w:cs="Times New Roman"/>
          <w:color w:val="231F1F"/>
          <w:spacing w:val="40"/>
        </w:rPr>
        <w:t xml:space="preserve"> </w:t>
      </w:r>
      <w:r w:rsidRPr="00620A85">
        <w:rPr>
          <w:rFonts w:ascii="Times New Roman" w:hAnsi="Times New Roman" w:cs="Times New Roman"/>
          <w:i/>
          <w:color w:val="231F1F"/>
        </w:rPr>
        <w:t>P.</w:t>
      </w:r>
      <w:r w:rsidRPr="00620A85">
        <w:rPr>
          <w:rFonts w:ascii="Times New Roman" w:hAnsi="Times New Roman" w:cs="Times New Roman"/>
          <w:i/>
          <w:color w:val="231F1F"/>
          <w:spacing w:val="40"/>
        </w:rPr>
        <w:t xml:space="preserve"> </w:t>
      </w:r>
      <w:r w:rsidRPr="00620A85">
        <w:rPr>
          <w:rFonts w:ascii="Times New Roman" w:hAnsi="Times New Roman" w:cs="Times New Roman"/>
          <w:i/>
          <w:color w:val="231F1F"/>
        </w:rPr>
        <w:t>fluorescens</w:t>
      </w:r>
      <w:r w:rsidRPr="00620A85">
        <w:rPr>
          <w:rFonts w:ascii="Times New Roman" w:hAnsi="Times New Roman" w:cs="Times New Roman"/>
          <w:i/>
          <w:color w:val="231F1F"/>
          <w:spacing w:val="40"/>
        </w:rPr>
        <w:t xml:space="preserve"> </w:t>
      </w:r>
      <w:r w:rsidRPr="00620A85">
        <w:rPr>
          <w:rFonts w:ascii="Times New Roman" w:hAnsi="Times New Roman" w:cs="Times New Roman"/>
          <w:color w:val="231F1F"/>
        </w:rPr>
        <w:t>BL915</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strain,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able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prevent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damage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67"/>
        </w:rPr>
        <w:t xml:space="preserve"> </w:t>
      </w:r>
      <w:r w:rsidRPr="00620A85">
        <w:rPr>
          <w:rFonts w:ascii="Times New Roman" w:hAnsi="Times New Roman" w:cs="Times New Roman"/>
          <w:i/>
          <w:color w:val="231F1F"/>
        </w:rPr>
        <w:t>Rhizoctonia</w:t>
      </w:r>
      <w:r w:rsidRPr="00620A85">
        <w:rPr>
          <w:rFonts w:ascii="Times New Roman" w:hAnsi="Times New Roman" w:cs="Times New Roman"/>
          <w:i/>
          <w:color w:val="231F1F"/>
          <w:spacing w:val="40"/>
        </w:rPr>
        <w:t xml:space="preserve"> </w:t>
      </w:r>
      <w:r w:rsidRPr="00620A85">
        <w:rPr>
          <w:rFonts w:ascii="Times New Roman" w:hAnsi="Times New Roman" w:cs="Times New Roman"/>
          <w:i/>
          <w:color w:val="231F1F"/>
        </w:rPr>
        <w:t>solani</w:t>
      </w:r>
      <w:r w:rsidRPr="00620A85">
        <w:rPr>
          <w:rFonts w:ascii="Times New Roman" w:hAnsi="Times New Roman" w:cs="Times New Roman"/>
          <w:i/>
          <w:color w:val="231F1F"/>
          <w:spacing w:val="40"/>
        </w:rPr>
        <w:t xml:space="preserve"> </w:t>
      </w:r>
      <w:r w:rsidRPr="00620A85">
        <w:rPr>
          <w:rFonts w:ascii="Times New Roman" w:hAnsi="Times New Roman" w:cs="Times New Roman"/>
          <w:color w:val="231F1F"/>
        </w:rPr>
        <w:t>during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damping-off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cotton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plants.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2,4-diacetylphloroglucinol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(DAPG)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produced by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pseudomonads,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effective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extensively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studied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antibiotic,</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causes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membrane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damage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i/>
          <w:color w:val="231F1F"/>
        </w:rPr>
        <w:t>Pythium</w:t>
      </w:r>
      <w:r w:rsidRPr="00620A85">
        <w:rPr>
          <w:rFonts w:ascii="Times New Roman" w:hAnsi="Times New Roman" w:cs="Times New Roman"/>
          <w:i/>
          <w:color w:val="231F1F"/>
          <w:spacing w:val="40"/>
        </w:rPr>
        <w:t xml:space="preserve"> </w:t>
      </w:r>
      <w:r w:rsidRPr="00620A85">
        <w:rPr>
          <w:rFonts w:ascii="Times New Roman" w:hAnsi="Times New Roman" w:cs="Times New Roman"/>
          <w:color w:val="231F1F"/>
        </w:rPr>
        <w:t>spp.</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particularly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inhibitory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zoospores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oomycete. Phenazine, also produced by pseudomonads, possesses redox activity and can suppress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pathogens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plants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such</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80"/>
        </w:rPr>
        <w:t xml:space="preserve"> </w:t>
      </w:r>
      <w:proofErr w:type="gramStart"/>
      <w:r w:rsidRPr="00620A85">
        <w:rPr>
          <w:rFonts w:ascii="Times New Roman" w:hAnsi="Times New Roman" w:cs="Times New Roman"/>
          <w:i/>
          <w:color w:val="231F1F"/>
        </w:rPr>
        <w:t>F.oxysporum</w:t>
      </w:r>
      <w:proofErr w:type="gramEnd"/>
      <w:r w:rsidRPr="00620A85">
        <w:rPr>
          <w:rFonts w:ascii="Times New Roman" w:hAnsi="Times New Roman" w:cs="Times New Roman"/>
          <w:i/>
          <w:color w:val="231F1F"/>
          <w:spacing w:val="8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80"/>
        </w:rPr>
        <w:t xml:space="preserve"> </w:t>
      </w:r>
      <w:r w:rsidRPr="00620A85">
        <w:rPr>
          <w:rFonts w:ascii="Times New Roman" w:hAnsi="Times New Roman" w:cs="Times New Roman"/>
          <w:i/>
          <w:color w:val="231F1F"/>
        </w:rPr>
        <w:t>Gaeumannomyces</w:t>
      </w:r>
      <w:r w:rsidRPr="00620A85">
        <w:rPr>
          <w:rFonts w:ascii="Times New Roman" w:hAnsi="Times New Roman" w:cs="Times New Roman"/>
          <w:i/>
          <w:color w:val="231F1F"/>
          <w:spacing w:val="80"/>
        </w:rPr>
        <w:t xml:space="preserve"> </w:t>
      </w:r>
      <w:r w:rsidRPr="00620A85">
        <w:rPr>
          <w:rFonts w:ascii="Times New Roman" w:hAnsi="Times New Roman" w:cs="Times New Roman"/>
          <w:i/>
          <w:color w:val="231F1F"/>
        </w:rPr>
        <w:t>graminis</w:t>
      </w:r>
      <w:r w:rsidRPr="00620A85">
        <w:rPr>
          <w:rFonts w:ascii="Times New Roman" w:hAnsi="Times New Roman" w:cs="Times New Roman"/>
          <w:color w:val="231F1F"/>
        </w:rPr>
        <w:t>.</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80"/>
        </w:rPr>
        <w:t xml:space="preserve"> </w:t>
      </w:r>
      <w:r w:rsidRPr="00620A85">
        <w:rPr>
          <w:rFonts w:ascii="Times New Roman" w:hAnsi="Times New Roman" w:cs="Times New Roman"/>
          <w:i/>
          <w:color w:val="231F1F"/>
        </w:rPr>
        <w:t>P.</w:t>
      </w:r>
      <w:r w:rsidRPr="00620A85">
        <w:rPr>
          <w:rFonts w:ascii="Times New Roman" w:hAnsi="Times New Roman" w:cs="Times New Roman"/>
          <w:i/>
          <w:color w:val="231F1F"/>
          <w:spacing w:val="40"/>
        </w:rPr>
        <w:t xml:space="preserve"> </w:t>
      </w:r>
      <w:r w:rsidRPr="00620A85">
        <w:rPr>
          <w:rFonts w:ascii="Times New Roman" w:hAnsi="Times New Roman" w:cs="Times New Roman"/>
          <w:i/>
          <w:color w:val="231F1F"/>
        </w:rPr>
        <w:t>chlororaphis</w:t>
      </w:r>
      <w:r w:rsidRPr="00620A85">
        <w:rPr>
          <w:rFonts w:ascii="Times New Roman" w:hAnsi="Times New Roman" w:cs="Times New Roman"/>
          <w:i/>
          <w:color w:val="231F1F"/>
          <w:spacing w:val="80"/>
          <w:w w:val="150"/>
        </w:rPr>
        <w:t xml:space="preserve"> </w:t>
      </w:r>
      <w:r w:rsidRPr="00620A85">
        <w:rPr>
          <w:rFonts w:ascii="Times New Roman" w:hAnsi="Times New Roman" w:cs="Times New Roman"/>
          <w:color w:val="231F1F"/>
        </w:rPr>
        <w:t>PCL1391</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strain,</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isolated</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from</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roots</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tomato</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plants,</w:t>
      </w:r>
      <w:r w:rsidRPr="00620A85">
        <w:rPr>
          <w:rFonts w:ascii="Times New Roman" w:hAnsi="Times New Roman" w:cs="Times New Roman"/>
          <w:color w:val="231F1F"/>
          <w:spacing w:val="80"/>
          <w:w w:val="150"/>
        </w:rPr>
        <w:t xml:space="preserve"> </w:t>
      </w:r>
      <w:r w:rsidRPr="00620A85">
        <w:rPr>
          <w:rFonts w:ascii="Times New Roman" w:hAnsi="Times New Roman" w:cs="Times New Roman"/>
          <w:color w:val="231F1F"/>
        </w:rPr>
        <w:t>synthesizes phenazine-1-carboxamide,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able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release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soluble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iron</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from</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insoluble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ferric oxides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neutral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pH,</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raising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possibility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phenazines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might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contribute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iron mobilization</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in</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soils.</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Antibiotics,</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such</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polymyxin,</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circulin</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colistin,</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produced</w:t>
      </w:r>
      <w:r w:rsidRPr="00620A85">
        <w:rPr>
          <w:rFonts w:ascii="Times New Roman" w:hAnsi="Times New Roman" w:cs="Times New Roman"/>
          <w:color w:val="231F1F"/>
          <w:spacing w:val="38"/>
        </w:rPr>
        <w:t xml:space="preserve"> </w:t>
      </w:r>
      <w:r w:rsidRPr="00620A85">
        <w:rPr>
          <w:rFonts w:ascii="Times New Roman" w:hAnsi="Times New Roman" w:cs="Times New Roman"/>
          <w:color w:val="231F1F"/>
        </w:rPr>
        <w:t>by the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majority</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of</w:t>
      </w:r>
      <w:r w:rsidRPr="00620A85">
        <w:rPr>
          <w:rFonts w:ascii="Times New Roman" w:hAnsi="Times New Roman" w:cs="Times New Roman"/>
          <w:color w:val="231F1F"/>
          <w:spacing w:val="80"/>
        </w:rPr>
        <w:t xml:space="preserve"> </w:t>
      </w:r>
      <w:r w:rsidRPr="00620A85">
        <w:rPr>
          <w:rFonts w:ascii="Times New Roman" w:hAnsi="Times New Roman" w:cs="Times New Roman"/>
          <w:i/>
          <w:color w:val="231F1F"/>
        </w:rPr>
        <w:t>Bacillus</w:t>
      </w:r>
      <w:r w:rsidRPr="00620A85">
        <w:rPr>
          <w:rFonts w:ascii="Times New Roman" w:hAnsi="Times New Roman" w:cs="Times New Roman"/>
          <w:i/>
          <w:color w:val="231F1F"/>
          <w:spacing w:val="80"/>
        </w:rPr>
        <w:t xml:space="preserve"> </w:t>
      </w:r>
      <w:r w:rsidRPr="00620A85">
        <w:rPr>
          <w:rFonts w:ascii="Times New Roman" w:hAnsi="Times New Roman" w:cs="Times New Roman"/>
          <w:color w:val="231F1F"/>
        </w:rPr>
        <w:t>ssp.</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are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active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against</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Gram-positive</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Gram-negative bacteria,</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well</w:t>
      </w:r>
      <w:r w:rsidRPr="00620A85">
        <w:rPr>
          <w:rFonts w:ascii="Times New Roman" w:hAnsi="Times New Roman" w:cs="Times New Roman"/>
          <w:color w:val="231F1F"/>
          <w:spacing w:val="15"/>
        </w:rPr>
        <w:t xml:space="preserve"> </w:t>
      </w:r>
      <w:r w:rsidRPr="00620A85">
        <w:rPr>
          <w:rFonts w:ascii="Times New Roman" w:hAnsi="Times New Roman" w:cs="Times New Roman"/>
          <w:color w:val="231F1F"/>
        </w:rPr>
        <w:t>as</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many</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pathogenic</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fungi.</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12"/>
        </w:rPr>
        <w:t xml:space="preserve"> </w:t>
      </w:r>
      <w:r w:rsidRPr="00620A85">
        <w:rPr>
          <w:rFonts w:ascii="Times New Roman" w:hAnsi="Times New Roman" w:cs="Times New Roman"/>
          <w:i/>
          <w:color w:val="231F1F"/>
        </w:rPr>
        <w:t>B.</w:t>
      </w:r>
      <w:r w:rsidRPr="00620A85">
        <w:rPr>
          <w:rFonts w:ascii="Times New Roman" w:hAnsi="Times New Roman" w:cs="Times New Roman"/>
          <w:i/>
          <w:color w:val="231F1F"/>
          <w:spacing w:val="7"/>
        </w:rPr>
        <w:t xml:space="preserve"> </w:t>
      </w:r>
      <w:r w:rsidRPr="00620A85">
        <w:rPr>
          <w:rFonts w:ascii="Times New Roman" w:hAnsi="Times New Roman" w:cs="Times New Roman"/>
          <w:i/>
          <w:color w:val="231F1F"/>
        </w:rPr>
        <w:t>cereus</w:t>
      </w:r>
      <w:r w:rsidRPr="00620A85">
        <w:rPr>
          <w:rFonts w:ascii="Times New Roman" w:hAnsi="Times New Roman" w:cs="Times New Roman"/>
          <w:i/>
          <w:color w:val="231F1F"/>
          <w:spacing w:val="13"/>
        </w:rPr>
        <w:t xml:space="preserve"> </w:t>
      </w:r>
      <w:r w:rsidRPr="00620A85">
        <w:rPr>
          <w:rFonts w:ascii="Times New Roman" w:hAnsi="Times New Roman" w:cs="Times New Roman"/>
          <w:color w:val="231F1F"/>
        </w:rPr>
        <w:t>UW85</w:t>
      </w:r>
      <w:r w:rsidRPr="00620A85">
        <w:rPr>
          <w:rFonts w:ascii="Times New Roman" w:hAnsi="Times New Roman" w:cs="Times New Roman"/>
          <w:color w:val="231F1F"/>
          <w:spacing w:val="13"/>
        </w:rPr>
        <w:t xml:space="preserve"> </w:t>
      </w:r>
      <w:r w:rsidRPr="00620A85">
        <w:rPr>
          <w:rFonts w:ascii="Times New Roman" w:hAnsi="Times New Roman" w:cs="Times New Roman"/>
          <w:color w:val="231F1F"/>
        </w:rPr>
        <w:t>strain,</w:t>
      </w:r>
      <w:r w:rsidRPr="00620A85">
        <w:rPr>
          <w:rFonts w:ascii="Times New Roman" w:hAnsi="Times New Roman" w:cs="Times New Roman"/>
          <w:color w:val="231F1F"/>
          <w:spacing w:val="8"/>
        </w:rPr>
        <w:t xml:space="preserve"> </w:t>
      </w:r>
      <w:r w:rsidRPr="00620A85">
        <w:rPr>
          <w:rFonts w:ascii="Times New Roman" w:hAnsi="Times New Roman" w:cs="Times New Roman"/>
          <w:color w:val="231F1F"/>
        </w:rPr>
        <w:t>which</w:t>
      </w:r>
      <w:r w:rsidRPr="00620A85">
        <w:rPr>
          <w:rFonts w:ascii="Times New Roman" w:hAnsi="Times New Roman" w:cs="Times New Roman"/>
          <w:color w:val="231F1F"/>
          <w:spacing w:val="12"/>
        </w:rPr>
        <w:t xml:space="preserve"> </w:t>
      </w:r>
      <w:r w:rsidRPr="00620A85">
        <w:rPr>
          <w:rFonts w:ascii="Times New Roman" w:hAnsi="Times New Roman" w:cs="Times New Roman"/>
          <w:color w:val="231F1F"/>
          <w:spacing w:val="-2"/>
        </w:rPr>
        <w:t>suppresses</w:t>
      </w:r>
    </w:p>
    <w:p w14:paraId="58FE1D7F" w14:textId="77777777" w:rsidR="00620A85" w:rsidRPr="00620A85" w:rsidRDefault="00620A85" w:rsidP="00620A85">
      <w:pPr>
        <w:pStyle w:val="BodyText"/>
        <w:spacing w:line="369" w:lineRule="auto"/>
        <w:jc w:val="left"/>
        <w:rPr>
          <w:rFonts w:ascii="Times New Roman" w:hAnsi="Times New Roman" w:cs="Times New Roman"/>
        </w:rPr>
        <w:sectPr w:rsidR="00620A85" w:rsidRPr="00620A85">
          <w:pgSz w:w="12240" w:h="15840"/>
          <w:pgMar w:top="1280" w:right="1800" w:bottom="280" w:left="1800" w:header="720" w:footer="720" w:gutter="0"/>
          <w:cols w:space="720"/>
        </w:sectPr>
      </w:pPr>
    </w:p>
    <w:p w14:paraId="27BE86A0" w14:textId="77777777" w:rsidR="00620A85" w:rsidRPr="00620A85" w:rsidRDefault="00620A85" w:rsidP="00620A85">
      <w:pPr>
        <w:pStyle w:val="BodyText"/>
        <w:spacing w:before="75" w:line="369" w:lineRule="auto"/>
        <w:ind w:right="79"/>
        <w:rPr>
          <w:rFonts w:ascii="Times New Roman" w:hAnsi="Times New Roman" w:cs="Times New Roman"/>
        </w:rPr>
      </w:pPr>
      <w:r w:rsidRPr="00620A85">
        <w:rPr>
          <w:rFonts w:ascii="Times New Roman" w:hAnsi="Times New Roman" w:cs="Times New Roman"/>
          <w:color w:val="231F1F"/>
        </w:rPr>
        <w:lastRenderedPageBreak/>
        <w:t xml:space="preserve">oomycete pathogens and produces the antibiotics zwittermicin A (aminopolyol) and kanosamine (aminoglycoside), contributes to the bio control of alfalfa damping off. Regarding bacteria as biocontrol agents to act as a biological solution, some researchers have highlighted the use of sporulating Gram-positive species such as </w:t>
      </w:r>
      <w:r w:rsidRPr="00620A85">
        <w:rPr>
          <w:rFonts w:ascii="Times New Roman" w:hAnsi="Times New Roman" w:cs="Times New Roman"/>
          <w:i/>
          <w:color w:val="231F1F"/>
        </w:rPr>
        <w:t xml:space="preserve">Bacillus </w:t>
      </w:r>
      <w:r w:rsidRPr="00620A85">
        <w:rPr>
          <w:rFonts w:ascii="Times New Roman" w:hAnsi="Times New Roman" w:cs="Times New Roman"/>
          <w:color w:val="231F1F"/>
        </w:rPr>
        <w:t xml:space="preserve">and </w:t>
      </w:r>
      <w:r w:rsidRPr="00620A85">
        <w:rPr>
          <w:rFonts w:ascii="Times New Roman" w:hAnsi="Times New Roman" w:cs="Times New Roman"/>
          <w:i/>
          <w:color w:val="231F1F"/>
        </w:rPr>
        <w:t xml:space="preserve">Paenibacillus </w:t>
      </w:r>
      <w:r w:rsidRPr="00620A85">
        <w:rPr>
          <w:rFonts w:ascii="Times New Roman" w:hAnsi="Times New Roman" w:cs="Times New Roman"/>
          <w:color w:val="231F1F"/>
        </w:rPr>
        <w:t>spp., which can confer higher population stability during formulation and storage of inoculant products.</w:t>
      </w:r>
    </w:p>
    <w:p w14:paraId="533F7AC5" w14:textId="77777777" w:rsidR="00620A85" w:rsidRPr="00620A85" w:rsidRDefault="00620A85" w:rsidP="00620A85">
      <w:pPr>
        <w:pStyle w:val="BodyText"/>
        <w:spacing w:line="369" w:lineRule="auto"/>
        <w:ind w:right="79"/>
        <w:rPr>
          <w:rFonts w:ascii="Times New Roman" w:hAnsi="Times New Roman" w:cs="Times New Roman"/>
        </w:rPr>
      </w:pPr>
      <w:r w:rsidRPr="00620A85">
        <w:rPr>
          <w:rFonts w:ascii="Times New Roman" w:hAnsi="Times New Roman" w:cs="Times New Roman"/>
          <w:b/>
          <w:color w:val="231F1F"/>
        </w:rPr>
        <w:t xml:space="preserve">Bacteriocins </w:t>
      </w:r>
      <w:r w:rsidRPr="00620A85">
        <w:rPr>
          <w:rFonts w:ascii="Times New Roman" w:hAnsi="Times New Roman" w:cs="Times New Roman"/>
          <w:color w:val="231F1F"/>
        </w:rPr>
        <w:t>Other molecules used in microbial defense systems are bacteriocins. Bacteriocins</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differ</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from</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traditional</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antibiotics</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in</w:t>
      </w:r>
      <w:r w:rsidRPr="00620A85">
        <w:rPr>
          <w:rFonts w:ascii="Times New Roman" w:hAnsi="Times New Roman" w:cs="Times New Roman"/>
          <w:color w:val="231F1F"/>
          <w:spacing w:val="25"/>
        </w:rPr>
        <w:t xml:space="preserve"> </w:t>
      </w:r>
      <w:r w:rsidRPr="00620A85">
        <w:rPr>
          <w:rFonts w:ascii="Times New Roman" w:hAnsi="Times New Roman" w:cs="Times New Roman"/>
          <w:color w:val="231F1F"/>
        </w:rPr>
        <w:t>one</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critical</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way:</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they</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commonly</w:t>
      </w:r>
      <w:r w:rsidRPr="00620A85">
        <w:rPr>
          <w:rFonts w:ascii="Times New Roman" w:hAnsi="Times New Roman" w:cs="Times New Roman"/>
          <w:color w:val="231F1F"/>
          <w:spacing w:val="28"/>
        </w:rPr>
        <w:t xml:space="preserve"> </w:t>
      </w:r>
      <w:r w:rsidRPr="00620A85">
        <w:rPr>
          <w:rFonts w:ascii="Times New Roman" w:hAnsi="Times New Roman" w:cs="Times New Roman"/>
          <w:color w:val="231F1F"/>
        </w:rPr>
        <w:t xml:space="preserve">have a relatively narrow killing spectrum and are only toxic to bacteria closely related to the producing strain. Almost all bacteria may make at least one bacteriocin, and many bacteriocins isolated from Gram-negative bacteria appear to have been created by recombination between existing bacteriocins. The colicins, proteins produced by some strains of </w:t>
      </w:r>
      <w:r w:rsidRPr="00620A85">
        <w:rPr>
          <w:rFonts w:ascii="Times New Roman" w:hAnsi="Times New Roman" w:cs="Times New Roman"/>
          <w:i/>
          <w:color w:val="231F1F"/>
        </w:rPr>
        <w:t xml:space="preserve">Escherichia coli </w:t>
      </w:r>
      <w:r w:rsidRPr="00620A85">
        <w:rPr>
          <w:rFonts w:ascii="Times New Roman" w:hAnsi="Times New Roman" w:cs="Times New Roman"/>
          <w:color w:val="231F1F"/>
        </w:rPr>
        <w:t>that are lethal for related strains, are the most representative bacteriocins produced by Gram-negative bacteria. Like colicin, a name derived from</w:t>
      </w:r>
      <w:r w:rsidRPr="00620A85">
        <w:rPr>
          <w:rFonts w:ascii="Times New Roman" w:hAnsi="Times New Roman" w:cs="Times New Roman"/>
          <w:color w:val="231F1F"/>
          <w:spacing w:val="40"/>
        </w:rPr>
        <w:t xml:space="preserve"> </w:t>
      </w:r>
      <w:r w:rsidRPr="00620A85">
        <w:rPr>
          <w:rFonts w:ascii="Times New Roman" w:hAnsi="Times New Roman" w:cs="Times New Roman"/>
          <w:i/>
          <w:color w:val="231F1F"/>
        </w:rPr>
        <w:t>E.</w:t>
      </w:r>
      <w:r w:rsidRPr="00620A85">
        <w:rPr>
          <w:rFonts w:ascii="Times New Roman" w:hAnsi="Times New Roman" w:cs="Times New Roman"/>
          <w:i/>
          <w:color w:val="231F1F"/>
          <w:spacing w:val="40"/>
        </w:rPr>
        <w:t xml:space="preserve"> </w:t>
      </w:r>
      <w:r w:rsidRPr="00620A85">
        <w:rPr>
          <w:rFonts w:ascii="Times New Roman" w:hAnsi="Times New Roman" w:cs="Times New Roman"/>
          <w:i/>
          <w:color w:val="231F1F"/>
        </w:rPr>
        <w:t>coli</w:t>
      </w:r>
      <w:r w:rsidRPr="00620A85">
        <w:rPr>
          <w:rFonts w:ascii="Times New Roman" w:hAnsi="Times New Roman" w:cs="Times New Roman"/>
          <w:color w:val="231F1F"/>
        </w:rPr>
        <w:t xml:space="preserve">, other bacteriocins have been thus defined and named, such as pyocins from </w:t>
      </w:r>
      <w:r w:rsidRPr="00620A85">
        <w:rPr>
          <w:rFonts w:ascii="Times New Roman" w:hAnsi="Times New Roman" w:cs="Times New Roman"/>
          <w:i/>
          <w:color w:val="231F1F"/>
        </w:rPr>
        <w:t xml:space="preserve">P. pyogenes </w:t>
      </w:r>
      <w:r w:rsidRPr="00620A85">
        <w:rPr>
          <w:rFonts w:ascii="Times New Roman" w:hAnsi="Times New Roman" w:cs="Times New Roman"/>
          <w:color w:val="231F1F"/>
        </w:rPr>
        <w:t xml:space="preserve">strains, cloacins from </w:t>
      </w:r>
      <w:r w:rsidRPr="00620A85">
        <w:rPr>
          <w:rFonts w:ascii="Times New Roman" w:hAnsi="Times New Roman" w:cs="Times New Roman"/>
          <w:i/>
          <w:color w:val="231F1F"/>
        </w:rPr>
        <w:t>Enterobacter cloacae</w:t>
      </w:r>
      <w:r w:rsidRPr="00620A85">
        <w:rPr>
          <w:rFonts w:ascii="Times New Roman" w:hAnsi="Times New Roman" w:cs="Times New Roman"/>
          <w:color w:val="231F1F"/>
        </w:rPr>
        <w:t xml:space="preserve">, marcescins from </w:t>
      </w:r>
      <w:r w:rsidRPr="00620A85">
        <w:rPr>
          <w:rFonts w:ascii="Times New Roman" w:hAnsi="Times New Roman" w:cs="Times New Roman"/>
          <w:i/>
          <w:color w:val="231F1F"/>
        </w:rPr>
        <w:t>Serratia</w:t>
      </w:r>
      <w:r w:rsidRPr="00620A85">
        <w:rPr>
          <w:rFonts w:ascii="Times New Roman" w:hAnsi="Times New Roman" w:cs="Times New Roman"/>
          <w:i/>
          <w:color w:val="231F1F"/>
          <w:spacing w:val="80"/>
        </w:rPr>
        <w:t xml:space="preserve"> </w:t>
      </w:r>
      <w:r w:rsidRPr="00620A85">
        <w:rPr>
          <w:rFonts w:ascii="Times New Roman" w:hAnsi="Times New Roman" w:cs="Times New Roman"/>
          <w:i/>
          <w:color w:val="231F1F"/>
        </w:rPr>
        <w:t xml:space="preserve">marcescens </w:t>
      </w:r>
      <w:r w:rsidRPr="00620A85">
        <w:rPr>
          <w:rFonts w:ascii="Times New Roman" w:hAnsi="Times New Roman" w:cs="Times New Roman"/>
          <w:color w:val="231F1F"/>
        </w:rPr>
        <w:t xml:space="preserve">and megacins from </w:t>
      </w:r>
      <w:r w:rsidRPr="00620A85">
        <w:rPr>
          <w:rFonts w:ascii="Times New Roman" w:hAnsi="Times New Roman" w:cs="Times New Roman"/>
          <w:i/>
          <w:color w:val="231F1F"/>
        </w:rPr>
        <w:t>B. megaterium</w:t>
      </w:r>
      <w:r w:rsidRPr="00620A85">
        <w:rPr>
          <w:rFonts w:ascii="Times New Roman" w:hAnsi="Times New Roman" w:cs="Times New Roman"/>
          <w:color w:val="231F1F"/>
        </w:rPr>
        <w: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 xml:space="preserve">Interestingly, bacteriocins from </w:t>
      </w:r>
      <w:r w:rsidRPr="00620A85">
        <w:rPr>
          <w:rFonts w:ascii="Times New Roman" w:hAnsi="Times New Roman" w:cs="Times New Roman"/>
          <w:i/>
          <w:color w:val="231F1F"/>
        </w:rPr>
        <w:t xml:space="preserve">Bacillus </w:t>
      </w:r>
      <w:r w:rsidRPr="00620A85">
        <w:rPr>
          <w:rFonts w:ascii="Times New Roman" w:hAnsi="Times New Roman" w:cs="Times New Roman"/>
          <w:color w:val="231F1F"/>
        </w:rPr>
        <w:t>spp.</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increaseingly</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becoming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more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important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due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their</w:t>
      </w:r>
      <w:r w:rsidRPr="00620A85">
        <w:rPr>
          <w:rFonts w:ascii="Times New Roman" w:hAnsi="Times New Roman" w:cs="Times New Roman"/>
          <w:color w:val="231F1F"/>
          <w:spacing w:val="40"/>
        </w:rPr>
        <w:t xml:space="preserve"> </w:t>
      </w:r>
      <w:proofErr w:type="gramStart"/>
      <w:r w:rsidRPr="00620A85">
        <w:rPr>
          <w:rFonts w:ascii="Times New Roman" w:hAnsi="Times New Roman" w:cs="Times New Roman"/>
          <w:color w:val="231F1F"/>
        </w:rPr>
        <w:t>sometimes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broader</w:t>
      </w:r>
      <w:proofErr w:type="gramEnd"/>
      <w:r w:rsidRPr="00620A85">
        <w:rPr>
          <w:rFonts w:ascii="Times New Roman" w:hAnsi="Times New Roman" w:cs="Times New Roman"/>
          <w:color w:val="231F1F"/>
        </w:rPr>
        <w:t xml:space="preserve"> spectra of inhibition (as compared with most lactic bacterial bacteriocins), which may include Gram-negative bacteria, yeasts or fungi, in addition to Gram-positive species,</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some of which are known to be pathogenic to humans and/or animals.</w:t>
      </w:r>
    </w:p>
    <w:p w14:paraId="4555BED1" w14:textId="77777777" w:rsidR="00620A85" w:rsidRPr="00620A85" w:rsidRDefault="00620A85" w:rsidP="00620A85">
      <w:pPr>
        <w:pStyle w:val="Heading1"/>
        <w:spacing w:line="252" w:lineRule="exact"/>
        <w:jc w:val="both"/>
        <w:rPr>
          <w:rFonts w:ascii="Times New Roman" w:hAnsi="Times New Roman" w:cs="Times New Roman"/>
        </w:rPr>
      </w:pPr>
      <w:r w:rsidRPr="00620A85">
        <w:rPr>
          <w:rFonts w:ascii="Times New Roman" w:hAnsi="Times New Roman" w:cs="Times New Roman"/>
          <w:color w:val="231F1F"/>
        </w:rPr>
        <w:t>Biocontrol</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Agents</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Induced</w:t>
      </w:r>
      <w:r w:rsidRPr="00620A85">
        <w:rPr>
          <w:rFonts w:ascii="Times New Roman" w:hAnsi="Times New Roman" w:cs="Times New Roman"/>
          <w:color w:val="231F1F"/>
          <w:spacing w:val="14"/>
        </w:rPr>
        <w:t xml:space="preserve"> </w:t>
      </w:r>
      <w:r w:rsidRPr="00620A85">
        <w:rPr>
          <w:rFonts w:ascii="Times New Roman" w:hAnsi="Times New Roman" w:cs="Times New Roman"/>
          <w:color w:val="231F1F"/>
        </w:rPr>
        <w:t>Resistance</w:t>
      </w:r>
      <w:r w:rsidRPr="00620A85">
        <w:rPr>
          <w:rFonts w:ascii="Times New Roman" w:hAnsi="Times New Roman" w:cs="Times New Roman"/>
          <w:color w:val="231F1F"/>
          <w:spacing w:val="11"/>
        </w:rPr>
        <w:t xml:space="preserve"> </w:t>
      </w:r>
      <w:r w:rsidRPr="00620A85">
        <w:rPr>
          <w:rFonts w:ascii="Times New Roman" w:hAnsi="Times New Roman" w:cs="Times New Roman"/>
          <w:color w:val="231F1F"/>
        </w:rPr>
        <w:t>(ISR</w:t>
      </w:r>
      <w:r w:rsidRPr="00620A85">
        <w:rPr>
          <w:rFonts w:ascii="Times New Roman" w:hAnsi="Times New Roman" w:cs="Times New Roman"/>
          <w:color w:val="231F1F"/>
          <w:spacing w:val="10"/>
        </w:rPr>
        <w:t xml:space="preserve"> </w:t>
      </w:r>
      <w:r w:rsidRPr="00620A85">
        <w:rPr>
          <w:rFonts w:ascii="Times New Roman" w:hAnsi="Times New Roman" w:cs="Times New Roman"/>
          <w:color w:val="231F1F"/>
        </w:rPr>
        <w:t>and</w:t>
      </w:r>
      <w:r w:rsidRPr="00620A85">
        <w:rPr>
          <w:rFonts w:ascii="Times New Roman" w:hAnsi="Times New Roman" w:cs="Times New Roman"/>
          <w:color w:val="231F1F"/>
          <w:spacing w:val="15"/>
        </w:rPr>
        <w:t xml:space="preserve"> </w:t>
      </w:r>
      <w:r w:rsidRPr="00620A85">
        <w:rPr>
          <w:rFonts w:ascii="Times New Roman" w:hAnsi="Times New Roman" w:cs="Times New Roman"/>
          <w:color w:val="231F1F"/>
          <w:spacing w:val="-4"/>
        </w:rPr>
        <w:t>SAR)</w:t>
      </w:r>
    </w:p>
    <w:p w14:paraId="05863D4F" w14:textId="77777777" w:rsidR="00620A85" w:rsidRPr="00620A85" w:rsidRDefault="00620A85" w:rsidP="00620A85">
      <w:pPr>
        <w:pStyle w:val="BodyText"/>
        <w:spacing w:before="136" w:line="369" w:lineRule="auto"/>
        <w:ind w:right="80"/>
        <w:rPr>
          <w:rFonts w:ascii="Times New Roman" w:hAnsi="Times New Roman" w:cs="Times New Roman"/>
        </w:rPr>
      </w:pPr>
      <w:r w:rsidRPr="00620A85">
        <w:rPr>
          <w:rFonts w:ascii="Times New Roman" w:hAnsi="Times New Roman" w:cs="Times New Roman"/>
          <w:color w:val="231F1F"/>
        </w:rPr>
        <w:t xml:space="preserve">Non-pathogenic rhizobacteria have been shown to suppress disease by inducing a resistance mechanism in the plant called “Induced Systemic Resistance” (ISR). Induced resistance is the state of an enhanced defensive ability developed by plants when appropriately stimulated. ISR was formerly described by Van Peer </w:t>
      </w:r>
      <w:r w:rsidRPr="00620A85">
        <w:rPr>
          <w:rFonts w:ascii="Times New Roman" w:hAnsi="Times New Roman" w:cs="Times New Roman"/>
          <w:i/>
          <w:color w:val="231F1F"/>
        </w:rPr>
        <w:t xml:space="preserve">et al. </w:t>
      </w:r>
      <w:r w:rsidRPr="00620A85">
        <w:rPr>
          <w:rFonts w:ascii="Times New Roman" w:hAnsi="Times New Roman" w:cs="Times New Roman"/>
          <w:color w:val="231F1F"/>
        </w:rPr>
        <w:t xml:space="preserve">(1991) in carnation plants that was systemically protected by the </w:t>
      </w:r>
      <w:r w:rsidRPr="00620A85">
        <w:rPr>
          <w:rFonts w:ascii="Times New Roman" w:hAnsi="Times New Roman" w:cs="Times New Roman"/>
          <w:i/>
          <w:color w:val="231F1F"/>
        </w:rPr>
        <w:t xml:space="preserve">P. fluorescens </w:t>
      </w:r>
      <w:r w:rsidRPr="00620A85">
        <w:rPr>
          <w:rFonts w:ascii="Times New Roman" w:hAnsi="Times New Roman" w:cs="Times New Roman"/>
          <w:color w:val="231F1F"/>
        </w:rPr>
        <w:t xml:space="preserve">strain WCS417r against </w:t>
      </w:r>
      <w:r w:rsidRPr="00620A85">
        <w:rPr>
          <w:rFonts w:ascii="Times New Roman" w:hAnsi="Times New Roman" w:cs="Times New Roman"/>
          <w:i/>
          <w:color w:val="231F1F"/>
        </w:rPr>
        <w:t xml:space="preserve">F. oxysporum </w:t>
      </w:r>
      <w:r w:rsidRPr="00620A85">
        <w:rPr>
          <w:rFonts w:ascii="Times New Roman" w:hAnsi="Times New Roman" w:cs="Times New Roman"/>
          <w:color w:val="231F1F"/>
        </w:rPr>
        <w:t xml:space="preserve">f. sp. </w:t>
      </w:r>
      <w:r w:rsidRPr="00620A85">
        <w:rPr>
          <w:rFonts w:ascii="Times New Roman" w:hAnsi="Times New Roman" w:cs="Times New Roman"/>
          <w:i/>
          <w:color w:val="231F1F"/>
        </w:rPr>
        <w:t xml:space="preserve">dianthi </w:t>
      </w:r>
      <w:r w:rsidRPr="00620A85">
        <w:rPr>
          <w:rFonts w:ascii="Times New Roman" w:hAnsi="Times New Roman" w:cs="Times New Roman"/>
          <w:color w:val="231F1F"/>
        </w:rPr>
        <w:t xml:space="preserve">and in cucumber plants, where rhizobacterial strains protected the leaves against anthracnose caused by </w:t>
      </w:r>
      <w:r w:rsidRPr="00620A85">
        <w:rPr>
          <w:rFonts w:ascii="Times New Roman" w:hAnsi="Times New Roman" w:cs="Times New Roman"/>
          <w:i/>
          <w:color w:val="231F1F"/>
        </w:rPr>
        <w:t>Colletotrichum orbiculare</w:t>
      </w:r>
      <w:r w:rsidRPr="00620A85">
        <w:rPr>
          <w:rFonts w:ascii="Times New Roman" w:hAnsi="Times New Roman" w:cs="Times New Roman"/>
          <w:color w:val="231F1F"/>
        </w:rPr>
        <w:t>. The inducing rhizobacteria and the pathogens were inoculated and remained confined and spatially</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separated</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on</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same</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plant</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so</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microbial</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antagonism</w:t>
      </w:r>
      <w:r w:rsidRPr="00620A85">
        <w:rPr>
          <w:rFonts w:ascii="Times New Roman" w:hAnsi="Times New Roman" w:cs="Times New Roman"/>
          <w:color w:val="231F1F"/>
          <w:spacing w:val="37"/>
        </w:rPr>
        <w:t xml:space="preserve"> </w:t>
      </w:r>
      <w:r w:rsidRPr="00620A85">
        <w:rPr>
          <w:rFonts w:ascii="Times New Roman" w:hAnsi="Times New Roman" w:cs="Times New Roman"/>
          <w:color w:val="231F1F"/>
        </w:rPr>
        <w:t>was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excluded</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and the protective effect was plant-mediated.</w:t>
      </w:r>
    </w:p>
    <w:p w14:paraId="09EAA9F6" w14:textId="77777777" w:rsidR="00620A85" w:rsidRPr="00620A85" w:rsidRDefault="00620A85" w:rsidP="00620A85">
      <w:pPr>
        <w:pStyle w:val="BodyText"/>
        <w:spacing w:line="369" w:lineRule="auto"/>
        <w:rPr>
          <w:rFonts w:ascii="Times New Roman" w:hAnsi="Times New Roman" w:cs="Times New Roman"/>
        </w:rPr>
        <w:sectPr w:rsidR="00620A85" w:rsidRPr="00620A85">
          <w:pgSz w:w="12240" w:h="15840"/>
          <w:pgMar w:top="1280" w:right="1800" w:bottom="280" w:left="1800" w:header="720" w:footer="720" w:gutter="0"/>
          <w:cols w:space="720"/>
        </w:sectPr>
      </w:pPr>
    </w:p>
    <w:p w14:paraId="0A8706EE" w14:textId="77777777" w:rsidR="00620A85" w:rsidRPr="00620A85" w:rsidRDefault="00620A85" w:rsidP="00620A85">
      <w:pPr>
        <w:pStyle w:val="BodyText"/>
        <w:spacing w:before="75" w:line="369" w:lineRule="auto"/>
        <w:ind w:right="83"/>
        <w:rPr>
          <w:rFonts w:ascii="Times New Roman" w:hAnsi="Times New Roman" w:cs="Times New Roman"/>
        </w:rPr>
      </w:pPr>
      <w:r w:rsidRPr="00620A85">
        <w:rPr>
          <w:rFonts w:ascii="Times New Roman" w:hAnsi="Times New Roman" w:cs="Times New Roman"/>
          <w:color w:val="231F1F"/>
        </w:rPr>
        <w:t xml:space="preserve">Rhizobacteria-mediated ISR resembles pathogen-induced systemic acquired resistance (SAR) in that both types of induced resistance render uninfected plant parts more resistant to plant pathogens, including fungal, bacterial and viral pathogens, as well as nematodes and insects. The same strain induces resistance against several pathogens in the same plant. Specifically, </w:t>
      </w:r>
      <w:r w:rsidRPr="00620A85">
        <w:rPr>
          <w:rFonts w:ascii="Times New Roman" w:hAnsi="Times New Roman" w:cs="Times New Roman"/>
          <w:i/>
          <w:color w:val="231F1F"/>
        </w:rPr>
        <w:t xml:space="preserve">Pseudomonas </w:t>
      </w:r>
      <w:r w:rsidRPr="00620A85">
        <w:rPr>
          <w:rFonts w:ascii="Times New Roman" w:hAnsi="Times New Roman" w:cs="Times New Roman"/>
          <w:color w:val="231F1F"/>
        </w:rPr>
        <w:t xml:space="preserve">and </w:t>
      </w:r>
      <w:r w:rsidRPr="00620A85">
        <w:rPr>
          <w:rFonts w:ascii="Times New Roman" w:hAnsi="Times New Roman" w:cs="Times New Roman"/>
          <w:i/>
          <w:color w:val="231F1F"/>
        </w:rPr>
        <w:t xml:space="preserve">Bacillus </w:t>
      </w:r>
      <w:r w:rsidRPr="00620A85">
        <w:rPr>
          <w:rFonts w:ascii="Times New Roman" w:hAnsi="Times New Roman" w:cs="Times New Roman"/>
          <w:color w:val="231F1F"/>
        </w:rPr>
        <w:t xml:space="preserve">spp. are the rhizobacteria most studied that trigger ISR. </w:t>
      </w:r>
      <w:r w:rsidRPr="00620A85">
        <w:rPr>
          <w:rFonts w:ascii="Times New Roman" w:hAnsi="Times New Roman" w:cs="Times New Roman"/>
          <w:color w:val="231F1F"/>
        </w:rPr>
        <w:lastRenderedPageBreak/>
        <w:t>Vleesschauwer and Höfte (2009) proposed</w:t>
      </w:r>
      <w:r w:rsidRPr="00620A85">
        <w:rPr>
          <w:rFonts w:ascii="Times New Roman" w:hAnsi="Times New Roman" w:cs="Times New Roman"/>
          <w:color w:val="231F1F"/>
          <w:spacing w:val="26"/>
        </w:rPr>
        <w:t xml:space="preserve"> </w:t>
      </w:r>
      <w:r w:rsidRPr="00620A85">
        <w:rPr>
          <w:rFonts w:ascii="Times New Roman" w:hAnsi="Times New Roman" w:cs="Times New Roman"/>
          <w:color w:val="231F1F"/>
        </w:rPr>
        <w:t>the terminology ISR</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to depict induced systemic resistance promoted by non-pathogenic rhizobacteria or</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PGPR, irrespective of the signaling pathway involved in this process, while the term SAR</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 xml:space="preserve">is used to describe salicylic acid-dependent induced resistance triggered by a localized </w:t>
      </w:r>
      <w:r w:rsidRPr="00620A85">
        <w:rPr>
          <w:rFonts w:ascii="Times New Roman" w:hAnsi="Times New Roman" w:cs="Times New Roman"/>
          <w:color w:val="231F1F"/>
          <w:spacing w:val="-2"/>
        </w:rPr>
        <w:t>infection.</w:t>
      </w:r>
    </w:p>
    <w:p w14:paraId="792193A7" w14:textId="77777777" w:rsidR="00620A85" w:rsidRPr="00620A85" w:rsidRDefault="00620A85" w:rsidP="00620A85">
      <w:pPr>
        <w:pStyle w:val="BodyText"/>
        <w:spacing w:line="369" w:lineRule="auto"/>
        <w:ind w:right="85"/>
        <w:rPr>
          <w:rFonts w:ascii="Times New Roman" w:hAnsi="Times New Roman" w:cs="Times New Roman"/>
        </w:rPr>
      </w:pPr>
      <w:r w:rsidRPr="00620A85">
        <w:rPr>
          <w:rFonts w:ascii="Times New Roman" w:hAnsi="Times New Roman" w:cs="Times New Roman"/>
          <w:color w:val="231F1F"/>
        </w:rPr>
        <w:t>ISR and SAR act through different signaling pathways. Induction of SAR is through</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salicylic acid (SA) and ISR requires jasmonic acid (JA) and ethylene (ET) signalling pathways.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These accumulating signalling</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molecules</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coordinate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the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defence</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responses and when applied exogenously, are sufficient to induce resistance. The protection mediated by ISR is significantly less than that obtained by SAR and a degree of</w:t>
      </w:r>
      <w:r w:rsidRPr="00620A85">
        <w:rPr>
          <w:rFonts w:ascii="Times New Roman" w:hAnsi="Times New Roman" w:cs="Times New Roman"/>
          <w:color w:val="231F1F"/>
          <w:spacing w:val="40"/>
        </w:rPr>
        <w:t xml:space="preserve"> </w:t>
      </w:r>
      <w:r w:rsidRPr="00620A85">
        <w:rPr>
          <w:rFonts w:ascii="Times New Roman" w:hAnsi="Times New Roman" w:cs="Times New Roman"/>
          <w:color w:val="231F1F"/>
        </w:rPr>
        <w:t>dependence on plant genotype is observed in the generation of</w:t>
      </w:r>
      <w:r w:rsidRPr="00620A85">
        <w:rPr>
          <w:rFonts w:ascii="Times New Roman" w:hAnsi="Times New Roman" w:cs="Times New Roman"/>
          <w:color w:val="231F1F"/>
          <w:spacing w:val="36"/>
        </w:rPr>
        <w:t xml:space="preserve"> </w:t>
      </w:r>
      <w:r w:rsidRPr="00620A85">
        <w:rPr>
          <w:rFonts w:ascii="Times New Roman" w:hAnsi="Times New Roman" w:cs="Times New Roman"/>
          <w:color w:val="231F1F"/>
        </w:rPr>
        <w:t>ISR. However, ISR and</w:t>
      </w:r>
      <w:r w:rsidRPr="00620A85">
        <w:rPr>
          <w:rFonts w:ascii="Times New Roman" w:hAnsi="Times New Roman" w:cs="Times New Roman"/>
          <w:color w:val="231F1F"/>
          <w:spacing w:val="80"/>
        </w:rPr>
        <w:t xml:space="preserve"> </w:t>
      </w:r>
      <w:r w:rsidRPr="00620A85">
        <w:rPr>
          <w:rFonts w:ascii="Times New Roman" w:hAnsi="Times New Roman" w:cs="Times New Roman"/>
          <w:color w:val="231F1F"/>
        </w:rPr>
        <w:t>SAR</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together</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provide</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a</w:t>
      </w:r>
      <w:r w:rsidRPr="00620A85">
        <w:rPr>
          <w:rFonts w:ascii="Times New Roman" w:hAnsi="Times New Roman" w:cs="Times New Roman"/>
          <w:color w:val="231F1F"/>
          <w:spacing w:val="34"/>
        </w:rPr>
        <w:t xml:space="preserve"> </w:t>
      </w:r>
      <w:r w:rsidRPr="00620A85">
        <w:rPr>
          <w:rFonts w:ascii="Times New Roman" w:hAnsi="Times New Roman" w:cs="Times New Roman"/>
          <w:color w:val="231F1F"/>
        </w:rPr>
        <w:t>better</w:t>
      </w:r>
      <w:r w:rsidRPr="00620A85">
        <w:rPr>
          <w:rFonts w:ascii="Times New Roman" w:hAnsi="Times New Roman" w:cs="Times New Roman"/>
          <w:color w:val="231F1F"/>
          <w:spacing w:val="33"/>
        </w:rPr>
        <w:t xml:space="preserve"> </w:t>
      </w:r>
      <w:r w:rsidRPr="00620A85">
        <w:rPr>
          <w:rFonts w:ascii="Times New Roman" w:hAnsi="Times New Roman" w:cs="Times New Roman"/>
          <w:color w:val="231F1F"/>
        </w:rPr>
        <w:t>protection than</w:t>
      </w:r>
      <w:r w:rsidRPr="00620A85">
        <w:rPr>
          <w:rFonts w:ascii="Times New Roman" w:hAnsi="Times New Roman" w:cs="Times New Roman"/>
          <w:color w:val="231F1F"/>
          <w:spacing w:val="35"/>
        </w:rPr>
        <w:t xml:space="preserve"> </w:t>
      </w:r>
      <w:r w:rsidRPr="00620A85">
        <w:rPr>
          <w:rFonts w:ascii="Times New Roman" w:hAnsi="Times New Roman" w:cs="Times New Roman"/>
          <w:color w:val="231F1F"/>
        </w:rPr>
        <w:t>each</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of them alone,</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indicating</w:t>
      </w:r>
      <w:r w:rsidRPr="00620A85">
        <w:rPr>
          <w:rFonts w:ascii="Times New Roman" w:hAnsi="Times New Roman" w:cs="Times New Roman"/>
          <w:color w:val="231F1F"/>
          <w:spacing w:val="30"/>
        </w:rPr>
        <w:t xml:space="preserve"> </w:t>
      </w:r>
      <w:r w:rsidRPr="00620A85">
        <w:rPr>
          <w:rFonts w:ascii="Times New Roman" w:hAnsi="Times New Roman" w:cs="Times New Roman"/>
          <w:color w:val="231F1F"/>
        </w:rPr>
        <w:t>that</w:t>
      </w:r>
      <w:r w:rsidRPr="00620A85">
        <w:rPr>
          <w:rFonts w:ascii="Times New Roman" w:hAnsi="Times New Roman" w:cs="Times New Roman"/>
          <w:color w:val="231F1F"/>
          <w:spacing w:val="32"/>
        </w:rPr>
        <w:t xml:space="preserve"> </w:t>
      </w:r>
      <w:r w:rsidRPr="00620A85">
        <w:rPr>
          <w:rFonts w:ascii="Times New Roman" w:hAnsi="Times New Roman" w:cs="Times New Roman"/>
          <w:color w:val="231F1F"/>
        </w:rPr>
        <w:t>they can act additively in inducing resistance to pathogens.</w:t>
      </w:r>
    </w:p>
    <w:p w14:paraId="7CD206B5" w14:textId="77777777" w:rsidR="00620A85" w:rsidRPr="00620A85" w:rsidRDefault="00620A85">
      <w:pPr>
        <w:pStyle w:val="Heading1"/>
        <w:spacing w:before="75"/>
        <w:rPr>
          <w:rFonts w:ascii="Times New Roman" w:hAnsi="Times New Roman" w:cs="Times New Roman"/>
          <w:color w:val="231F1F"/>
        </w:rPr>
      </w:pPr>
    </w:p>
    <w:sectPr w:rsidR="00620A85" w:rsidRPr="00620A85" w:rsidSect="00620A85">
      <w:type w:val="continuous"/>
      <w:pgSz w:w="12240" w:h="15840"/>
      <w:pgMar w:top="1280" w:right="1800" w:bottom="28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1B7FD" w14:textId="77777777" w:rsidR="007B43E8" w:rsidRDefault="007B43E8" w:rsidP="00B6525A">
      <w:r>
        <w:separator/>
      </w:r>
    </w:p>
  </w:endnote>
  <w:endnote w:type="continuationSeparator" w:id="0">
    <w:p w14:paraId="2C45F81F" w14:textId="77777777" w:rsidR="007B43E8" w:rsidRDefault="007B43E8" w:rsidP="00B6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70473"/>
      <w:docPartObj>
        <w:docPartGallery w:val="Page Numbers (Bottom of Page)"/>
        <w:docPartUnique/>
      </w:docPartObj>
    </w:sdtPr>
    <w:sdtEndPr>
      <w:rPr>
        <w:noProof/>
      </w:rPr>
    </w:sdtEndPr>
    <w:sdtContent>
      <w:p w14:paraId="04B3F8A6" w14:textId="227EEF8A" w:rsidR="00F21BA0" w:rsidRDefault="00F21B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9DF67D" w14:textId="77777777" w:rsidR="00F21BA0" w:rsidRDefault="00F21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0800" w14:textId="77777777" w:rsidR="007B43E8" w:rsidRDefault="007B43E8" w:rsidP="00B6525A">
      <w:r>
        <w:separator/>
      </w:r>
    </w:p>
  </w:footnote>
  <w:footnote w:type="continuationSeparator" w:id="0">
    <w:p w14:paraId="4A126B3B" w14:textId="77777777" w:rsidR="007B43E8" w:rsidRDefault="007B43E8" w:rsidP="00B6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158FB"/>
    <w:multiLevelType w:val="hybridMultilevel"/>
    <w:tmpl w:val="B9EC3E90"/>
    <w:lvl w:ilvl="0" w:tplc="A25AE2CE">
      <w:start w:val="1"/>
      <w:numFmt w:val="decimal"/>
      <w:lvlText w:val="(%1)"/>
      <w:lvlJc w:val="left"/>
      <w:pPr>
        <w:ind w:left="72" w:hanging="406"/>
        <w:jc w:val="left"/>
      </w:pPr>
      <w:rPr>
        <w:rFonts w:ascii="Cambria" w:eastAsia="Cambria" w:hAnsi="Cambria" w:cs="Cambria" w:hint="default"/>
        <w:b w:val="0"/>
        <w:bCs w:val="0"/>
        <w:i w:val="0"/>
        <w:iCs w:val="0"/>
        <w:color w:val="231F1F"/>
        <w:spacing w:val="-4"/>
        <w:w w:val="102"/>
        <w:sz w:val="22"/>
        <w:szCs w:val="22"/>
        <w:lang w:val="en-US" w:eastAsia="en-US" w:bidi="ar-SA"/>
      </w:rPr>
    </w:lvl>
    <w:lvl w:ilvl="1" w:tplc="76FC0856">
      <w:numFmt w:val="bullet"/>
      <w:lvlText w:val="•"/>
      <w:lvlJc w:val="left"/>
      <w:pPr>
        <w:ind w:left="936" w:hanging="406"/>
      </w:pPr>
      <w:rPr>
        <w:rFonts w:hint="default"/>
        <w:lang w:val="en-US" w:eastAsia="en-US" w:bidi="ar-SA"/>
      </w:rPr>
    </w:lvl>
    <w:lvl w:ilvl="2" w:tplc="325EB802">
      <w:numFmt w:val="bullet"/>
      <w:lvlText w:val="•"/>
      <w:lvlJc w:val="left"/>
      <w:pPr>
        <w:ind w:left="1792" w:hanging="406"/>
      </w:pPr>
      <w:rPr>
        <w:rFonts w:hint="default"/>
        <w:lang w:val="en-US" w:eastAsia="en-US" w:bidi="ar-SA"/>
      </w:rPr>
    </w:lvl>
    <w:lvl w:ilvl="3" w:tplc="9EF2235E">
      <w:numFmt w:val="bullet"/>
      <w:lvlText w:val="•"/>
      <w:lvlJc w:val="left"/>
      <w:pPr>
        <w:ind w:left="2648" w:hanging="406"/>
      </w:pPr>
      <w:rPr>
        <w:rFonts w:hint="default"/>
        <w:lang w:val="en-US" w:eastAsia="en-US" w:bidi="ar-SA"/>
      </w:rPr>
    </w:lvl>
    <w:lvl w:ilvl="4" w:tplc="17EE68FA">
      <w:numFmt w:val="bullet"/>
      <w:lvlText w:val="•"/>
      <w:lvlJc w:val="left"/>
      <w:pPr>
        <w:ind w:left="3504" w:hanging="406"/>
      </w:pPr>
      <w:rPr>
        <w:rFonts w:hint="default"/>
        <w:lang w:val="en-US" w:eastAsia="en-US" w:bidi="ar-SA"/>
      </w:rPr>
    </w:lvl>
    <w:lvl w:ilvl="5" w:tplc="AEF69D94">
      <w:numFmt w:val="bullet"/>
      <w:lvlText w:val="•"/>
      <w:lvlJc w:val="left"/>
      <w:pPr>
        <w:ind w:left="4360" w:hanging="406"/>
      </w:pPr>
      <w:rPr>
        <w:rFonts w:hint="default"/>
        <w:lang w:val="en-US" w:eastAsia="en-US" w:bidi="ar-SA"/>
      </w:rPr>
    </w:lvl>
    <w:lvl w:ilvl="6" w:tplc="B3F0B694">
      <w:numFmt w:val="bullet"/>
      <w:lvlText w:val="•"/>
      <w:lvlJc w:val="left"/>
      <w:pPr>
        <w:ind w:left="5216" w:hanging="406"/>
      </w:pPr>
      <w:rPr>
        <w:rFonts w:hint="default"/>
        <w:lang w:val="en-US" w:eastAsia="en-US" w:bidi="ar-SA"/>
      </w:rPr>
    </w:lvl>
    <w:lvl w:ilvl="7" w:tplc="028E749A">
      <w:numFmt w:val="bullet"/>
      <w:lvlText w:val="•"/>
      <w:lvlJc w:val="left"/>
      <w:pPr>
        <w:ind w:left="6072" w:hanging="406"/>
      </w:pPr>
      <w:rPr>
        <w:rFonts w:hint="default"/>
        <w:lang w:val="en-US" w:eastAsia="en-US" w:bidi="ar-SA"/>
      </w:rPr>
    </w:lvl>
    <w:lvl w:ilvl="8" w:tplc="A9522D4E">
      <w:numFmt w:val="bullet"/>
      <w:lvlText w:val="•"/>
      <w:lvlJc w:val="left"/>
      <w:pPr>
        <w:ind w:left="6928" w:hanging="406"/>
      </w:pPr>
      <w:rPr>
        <w:rFonts w:hint="default"/>
        <w:lang w:val="en-US" w:eastAsia="en-US" w:bidi="ar-SA"/>
      </w:rPr>
    </w:lvl>
  </w:abstractNum>
  <w:abstractNum w:abstractNumId="1" w15:restartNumberingAfterBreak="0">
    <w:nsid w:val="28E46316"/>
    <w:multiLevelType w:val="hybridMultilevel"/>
    <w:tmpl w:val="2B90BA14"/>
    <w:lvl w:ilvl="0" w:tplc="1988F848">
      <w:start w:val="1"/>
      <w:numFmt w:val="decimal"/>
      <w:lvlText w:val="(%1)"/>
      <w:lvlJc w:val="left"/>
      <w:pPr>
        <w:ind w:left="72" w:hanging="406"/>
        <w:jc w:val="left"/>
      </w:pPr>
      <w:rPr>
        <w:rFonts w:ascii="Cambria" w:eastAsia="Cambria" w:hAnsi="Cambria" w:cs="Cambria" w:hint="default"/>
        <w:b w:val="0"/>
        <w:bCs w:val="0"/>
        <w:i w:val="0"/>
        <w:iCs w:val="0"/>
        <w:color w:val="231F1F"/>
        <w:spacing w:val="-4"/>
        <w:w w:val="102"/>
        <w:sz w:val="22"/>
        <w:szCs w:val="22"/>
        <w:lang w:val="en-US" w:eastAsia="en-US" w:bidi="ar-SA"/>
      </w:rPr>
    </w:lvl>
    <w:lvl w:ilvl="1" w:tplc="A75E37B0">
      <w:numFmt w:val="bullet"/>
      <w:lvlText w:val="•"/>
      <w:lvlJc w:val="left"/>
      <w:pPr>
        <w:ind w:left="936" w:hanging="406"/>
      </w:pPr>
      <w:rPr>
        <w:rFonts w:hint="default"/>
        <w:lang w:val="en-US" w:eastAsia="en-US" w:bidi="ar-SA"/>
      </w:rPr>
    </w:lvl>
    <w:lvl w:ilvl="2" w:tplc="AE4AF1DE">
      <w:numFmt w:val="bullet"/>
      <w:lvlText w:val="•"/>
      <w:lvlJc w:val="left"/>
      <w:pPr>
        <w:ind w:left="1792" w:hanging="406"/>
      </w:pPr>
      <w:rPr>
        <w:rFonts w:hint="default"/>
        <w:lang w:val="en-US" w:eastAsia="en-US" w:bidi="ar-SA"/>
      </w:rPr>
    </w:lvl>
    <w:lvl w:ilvl="3" w:tplc="5D700B96">
      <w:numFmt w:val="bullet"/>
      <w:lvlText w:val="•"/>
      <w:lvlJc w:val="left"/>
      <w:pPr>
        <w:ind w:left="2648" w:hanging="406"/>
      </w:pPr>
      <w:rPr>
        <w:rFonts w:hint="default"/>
        <w:lang w:val="en-US" w:eastAsia="en-US" w:bidi="ar-SA"/>
      </w:rPr>
    </w:lvl>
    <w:lvl w:ilvl="4" w:tplc="C278F878">
      <w:numFmt w:val="bullet"/>
      <w:lvlText w:val="•"/>
      <w:lvlJc w:val="left"/>
      <w:pPr>
        <w:ind w:left="3504" w:hanging="406"/>
      </w:pPr>
      <w:rPr>
        <w:rFonts w:hint="default"/>
        <w:lang w:val="en-US" w:eastAsia="en-US" w:bidi="ar-SA"/>
      </w:rPr>
    </w:lvl>
    <w:lvl w:ilvl="5" w:tplc="BD3AFC2C">
      <w:numFmt w:val="bullet"/>
      <w:lvlText w:val="•"/>
      <w:lvlJc w:val="left"/>
      <w:pPr>
        <w:ind w:left="4360" w:hanging="406"/>
      </w:pPr>
      <w:rPr>
        <w:rFonts w:hint="default"/>
        <w:lang w:val="en-US" w:eastAsia="en-US" w:bidi="ar-SA"/>
      </w:rPr>
    </w:lvl>
    <w:lvl w:ilvl="6" w:tplc="D0305B06">
      <w:numFmt w:val="bullet"/>
      <w:lvlText w:val="•"/>
      <w:lvlJc w:val="left"/>
      <w:pPr>
        <w:ind w:left="5216" w:hanging="406"/>
      </w:pPr>
      <w:rPr>
        <w:rFonts w:hint="default"/>
        <w:lang w:val="en-US" w:eastAsia="en-US" w:bidi="ar-SA"/>
      </w:rPr>
    </w:lvl>
    <w:lvl w:ilvl="7" w:tplc="5B8EC294">
      <w:numFmt w:val="bullet"/>
      <w:lvlText w:val="•"/>
      <w:lvlJc w:val="left"/>
      <w:pPr>
        <w:ind w:left="6072" w:hanging="406"/>
      </w:pPr>
      <w:rPr>
        <w:rFonts w:hint="default"/>
        <w:lang w:val="en-US" w:eastAsia="en-US" w:bidi="ar-SA"/>
      </w:rPr>
    </w:lvl>
    <w:lvl w:ilvl="8" w:tplc="324AA106">
      <w:numFmt w:val="bullet"/>
      <w:lvlText w:val="•"/>
      <w:lvlJc w:val="left"/>
      <w:pPr>
        <w:ind w:left="6928" w:hanging="406"/>
      </w:pPr>
      <w:rPr>
        <w:rFonts w:hint="default"/>
        <w:lang w:val="en-US" w:eastAsia="en-US" w:bidi="ar-SA"/>
      </w:rPr>
    </w:lvl>
  </w:abstractNum>
  <w:abstractNum w:abstractNumId="2" w15:restartNumberingAfterBreak="0">
    <w:nsid w:val="2CF44B86"/>
    <w:multiLevelType w:val="multilevel"/>
    <w:tmpl w:val="44E8F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FE7C2E"/>
    <w:multiLevelType w:val="multilevel"/>
    <w:tmpl w:val="8E5C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34"/>
    <w:rsid w:val="00620A85"/>
    <w:rsid w:val="007A739E"/>
    <w:rsid w:val="007B43E8"/>
    <w:rsid w:val="007B7A5F"/>
    <w:rsid w:val="007F4295"/>
    <w:rsid w:val="00900ADA"/>
    <w:rsid w:val="00924F34"/>
    <w:rsid w:val="009D2E63"/>
    <w:rsid w:val="00AD4CF8"/>
    <w:rsid w:val="00B6525A"/>
    <w:rsid w:val="00D6740D"/>
    <w:rsid w:val="00F21B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DDC6"/>
  <w15:docId w15:val="{99D01705-B150-4A16-981D-17BE7501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7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
      <w:jc w:val="both"/>
    </w:pPr>
  </w:style>
  <w:style w:type="paragraph" w:styleId="ListParagraph">
    <w:name w:val="List Paragraph"/>
    <w:basedOn w:val="Normal"/>
    <w:uiPriority w:val="1"/>
    <w:qFormat/>
    <w:pPr>
      <w:ind w:left="72" w:hanging="343"/>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6525A"/>
    <w:pPr>
      <w:tabs>
        <w:tab w:val="center" w:pos="4513"/>
        <w:tab w:val="right" w:pos="9026"/>
      </w:tabs>
    </w:pPr>
  </w:style>
  <w:style w:type="character" w:customStyle="1" w:styleId="HeaderChar">
    <w:name w:val="Header Char"/>
    <w:basedOn w:val="DefaultParagraphFont"/>
    <w:link w:val="Header"/>
    <w:uiPriority w:val="99"/>
    <w:rsid w:val="00B6525A"/>
    <w:rPr>
      <w:rFonts w:ascii="Cambria" w:eastAsia="Cambria" w:hAnsi="Cambria" w:cs="Cambria"/>
    </w:rPr>
  </w:style>
  <w:style w:type="paragraph" w:styleId="Footer">
    <w:name w:val="footer"/>
    <w:basedOn w:val="Normal"/>
    <w:link w:val="FooterChar"/>
    <w:uiPriority w:val="99"/>
    <w:unhideWhenUsed/>
    <w:rsid w:val="00B6525A"/>
    <w:pPr>
      <w:tabs>
        <w:tab w:val="center" w:pos="4513"/>
        <w:tab w:val="right" w:pos="9026"/>
      </w:tabs>
    </w:pPr>
  </w:style>
  <w:style w:type="character" w:customStyle="1" w:styleId="FooterChar">
    <w:name w:val="Footer Char"/>
    <w:basedOn w:val="DefaultParagraphFont"/>
    <w:link w:val="Footer"/>
    <w:uiPriority w:val="99"/>
    <w:rsid w:val="00B6525A"/>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2341</Words>
  <Characters>13347</Characters>
  <Application>Microsoft Office Word</Application>
  <DocSecurity>0</DocSecurity>
  <Lines>111</Lines>
  <Paragraphs>31</Paragraphs>
  <ScaleCrop>false</ScaleCrop>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Plant Growth Promoting Bacteria</dc:title>
  <dc:creator>LakhmirSingh</dc:creator>
  <cp:lastModifiedBy>DELL</cp:lastModifiedBy>
  <cp:revision>10</cp:revision>
  <dcterms:created xsi:type="dcterms:W3CDTF">2026-08-14T07:23:00Z</dcterms:created>
  <dcterms:modified xsi:type="dcterms:W3CDTF">2026-08-14T07:43:00Z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2020-03-25T00:00:00Z</vt:filetime>
  </property>
  <property fmtid="{D5CDD505-2E9C-101B-9397-08002B2CF9AE}" pid="4" name="LastSaved">
    <vt:filetime>2026-08-14T00:00:00Z</vt:filetime>
  </property>
  <property fmtid="{D5CDD505-2E9C-101B-9397-08002B2CF9AE}" pid="5" name="Producer">
    <vt:lpwstr>Microsoft: Print To PDF</vt:lpwstr>
  </property>
</Properties>
</file>