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7E00" w14:textId="0325E24E" w:rsidR="004561E6" w:rsidRPr="004561E6" w:rsidRDefault="004561E6" w:rsidP="004561E6">
      <w:pPr>
        <w:tabs>
          <w:tab w:val="num" w:pos="720"/>
        </w:tabs>
        <w:ind w:left="720" w:hanging="360"/>
        <w:rPr>
          <w:sz w:val="40"/>
          <w:szCs w:val="40"/>
        </w:rPr>
      </w:pPr>
      <w:r w:rsidRPr="004561E6">
        <w:rPr>
          <w:sz w:val="40"/>
          <w:szCs w:val="40"/>
        </w:rPr>
        <w:t xml:space="preserve">OSTEOPOROSIS 2 </w:t>
      </w:r>
    </w:p>
    <w:p w14:paraId="0D5798D8" w14:textId="61497DDB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Osteoporosis is a systemic skeletal disease characterized by:</w:t>
      </w:r>
    </w:p>
    <w:p w14:paraId="748F5601" w14:textId="77777777" w:rsidR="004561E6" w:rsidRPr="004561E6" w:rsidRDefault="004561E6" w:rsidP="004561E6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Low bone mass (reduced bone mineral density)</w:t>
      </w:r>
    </w:p>
    <w:p w14:paraId="39E365C4" w14:textId="77777777" w:rsidR="004561E6" w:rsidRPr="004561E6" w:rsidRDefault="004561E6" w:rsidP="004561E6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Microarchitectural deterioration of bone tissue</w:t>
      </w:r>
    </w:p>
    <w:p w14:paraId="63C3DE5A" w14:textId="77777777" w:rsidR="004561E6" w:rsidRPr="004561E6" w:rsidRDefault="004561E6" w:rsidP="004561E6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Increased bone fragility and susceptibility to fracture</w:t>
      </w:r>
    </w:p>
    <w:p w14:paraId="6C360DD7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The word "osteoporosis" means "porous bone." It is a silent disease until a fracture occurs.</w:t>
      </w:r>
    </w:p>
    <w:p w14:paraId="70BDE791" w14:textId="77777777" w:rsidR="004561E6" w:rsidRPr="004561E6" w:rsidRDefault="004561E6" w:rsidP="004561E6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KEY DIFFERENCE: OSTEOPOROSIS vs. OSTEOPENIA vs. OSTEOMALACIA</w:t>
      </w:r>
    </w:p>
    <w:p w14:paraId="40698642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Condition: Definition / Key feature</w:t>
      </w:r>
    </w:p>
    <w:p w14:paraId="2B507110" w14:textId="77777777" w:rsidR="004561E6" w:rsidRPr="004561E6" w:rsidRDefault="004561E6" w:rsidP="004561E6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Osteopenia: Low bone density (T-score between -1.0 and -2.5) – precursor to osteoporosis</w:t>
      </w:r>
    </w:p>
    <w:p w14:paraId="480E398B" w14:textId="77777777" w:rsidR="004561E6" w:rsidRPr="004561E6" w:rsidRDefault="004561E6" w:rsidP="004561E6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Osteoporosis: Very low bone density (T-score ≤ -2.5) or presence of fragility fracture</w:t>
      </w:r>
    </w:p>
    <w:p w14:paraId="64C27551" w14:textId="77777777" w:rsidR="004561E6" w:rsidRPr="004561E6" w:rsidRDefault="004561E6" w:rsidP="004561E6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Osteomalacia: Defective bone mineralization due to vitamin D deficiency – soft bones, pseudofractures (Looser zones)</w:t>
      </w:r>
    </w:p>
    <w:p w14:paraId="131B8CE1" w14:textId="77777777" w:rsidR="004561E6" w:rsidRPr="004561E6" w:rsidRDefault="004561E6" w:rsidP="004561E6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CLASSIFICATION (TYPES OF OSTEOPOROSIS)</w:t>
      </w:r>
    </w:p>
    <w:p w14:paraId="22F84F29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Type 1 (Postmenopausal Osteoporosis):</w:t>
      </w:r>
    </w:p>
    <w:p w14:paraId="2B018CF2" w14:textId="77777777" w:rsidR="004561E6" w:rsidRPr="004561E6" w:rsidRDefault="004561E6" w:rsidP="004561E6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Age: 50-65 years</w:t>
      </w:r>
    </w:p>
    <w:p w14:paraId="7588EA77" w14:textId="77777777" w:rsidR="004561E6" w:rsidRPr="004561E6" w:rsidRDefault="004561E6" w:rsidP="004561E6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Sex: Female &gt;&gt; Male</w:t>
      </w:r>
    </w:p>
    <w:p w14:paraId="2097CD2B" w14:textId="77777777" w:rsidR="004561E6" w:rsidRPr="004561E6" w:rsidRDefault="004561E6" w:rsidP="004561E6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Primary cause: Estrogen deficiency</w:t>
      </w:r>
    </w:p>
    <w:p w14:paraId="7AA6C0DC" w14:textId="77777777" w:rsidR="004561E6" w:rsidRPr="004561E6" w:rsidRDefault="004561E6" w:rsidP="004561E6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Bone loss pattern: Predominantly trabecular bone (rapid loss)</w:t>
      </w:r>
    </w:p>
    <w:p w14:paraId="6A41BABF" w14:textId="77777777" w:rsidR="004561E6" w:rsidRPr="004561E6" w:rsidRDefault="004561E6" w:rsidP="004561E6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Common fractures: Vertebral compression fractures, distal radius (Colles fracture)</w:t>
      </w:r>
    </w:p>
    <w:p w14:paraId="76A610EB" w14:textId="77777777" w:rsidR="004561E6" w:rsidRPr="004561E6" w:rsidRDefault="004561E6" w:rsidP="004561E6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PTH level: Normal or low</w:t>
      </w:r>
    </w:p>
    <w:p w14:paraId="5BE3F7E9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Type 2 (Senile Osteoporosis):</w:t>
      </w:r>
    </w:p>
    <w:p w14:paraId="53AA9F41" w14:textId="77777777" w:rsidR="004561E6" w:rsidRPr="004561E6" w:rsidRDefault="004561E6" w:rsidP="004561E6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Age: &gt;70 years</w:t>
      </w:r>
    </w:p>
    <w:p w14:paraId="53AC52E2" w14:textId="77777777" w:rsidR="004561E6" w:rsidRPr="004561E6" w:rsidRDefault="004561E6" w:rsidP="004561E6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Sex: Female = Male (both affected)</w:t>
      </w:r>
    </w:p>
    <w:p w14:paraId="14F492E1" w14:textId="77777777" w:rsidR="004561E6" w:rsidRPr="004561E6" w:rsidRDefault="004561E6" w:rsidP="004561E6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Primary cause: Aging – decreased osteoblast activity, impaired calcium absorption, vitamin D deficiency</w:t>
      </w:r>
    </w:p>
    <w:p w14:paraId="05B36F00" w14:textId="77777777" w:rsidR="004561E6" w:rsidRPr="004561E6" w:rsidRDefault="004561E6" w:rsidP="004561E6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Bone loss pattern: Trabecular + cortical bone (slow loss)</w:t>
      </w:r>
    </w:p>
    <w:p w14:paraId="4FB5FB63" w14:textId="77777777" w:rsidR="004561E6" w:rsidRPr="004561E6" w:rsidRDefault="004561E6" w:rsidP="004561E6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Common fractures: Hip (proximal femur), proximal humerus, pelvis</w:t>
      </w:r>
    </w:p>
    <w:p w14:paraId="1379DB23" w14:textId="77777777" w:rsidR="004561E6" w:rsidRPr="004561E6" w:rsidRDefault="004561E6" w:rsidP="004561E6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PTH level: Normal or slightly elevated</w:t>
      </w:r>
    </w:p>
    <w:p w14:paraId="44D87CD8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Secondary Osteoporosis:</w:t>
      </w:r>
    </w:p>
    <w:p w14:paraId="403A4DF9" w14:textId="77777777" w:rsidR="004561E6" w:rsidRPr="004561E6" w:rsidRDefault="004561E6" w:rsidP="004561E6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Cause: Underlying medical condition or medication</w:t>
      </w:r>
    </w:p>
    <w:p w14:paraId="17CE2BB1" w14:textId="77777777" w:rsidR="004561E6" w:rsidRPr="004561E6" w:rsidRDefault="004561E6" w:rsidP="004561E6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Examples: Glucocorticoid-induced, hypogonadism, hyperthyroidism, hyperparathyroidism, multiple myeloma, malabsorption (celiac disease), chronic kidney disease, alcoholism, anticonvulsant drugs (phenytoin, phenobarbital)</w:t>
      </w:r>
    </w:p>
    <w:p w14:paraId="5B6EDDCC" w14:textId="77777777" w:rsidR="004561E6" w:rsidRPr="004561E6" w:rsidRDefault="004561E6" w:rsidP="004561E6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lastRenderedPageBreak/>
        <w:t>PATHOPHYSIOLOGY (Basic Mechanism)</w:t>
      </w:r>
    </w:p>
    <w:p w14:paraId="473FB34D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Normal bone remodeling: Osteoclasts (bone resorption) and osteoblasts (bone formation) are balanced.</w:t>
      </w:r>
    </w:p>
    <w:p w14:paraId="71CE62CB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In osteoporosis:</w:t>
      </w:r>
    </w:p>
    <w:p w14:paraId="15B0ED13" w14:textId="77777777" w:rsidR="004561E6" w:rsidRPr="004561E6" w:rsidRDefault="004561E6" w:rsidP="004561E6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Bone resorption &gt; bone formation</w:t>
      </w:r>
    </w:p>
    <w:p w14:paraId="3F83B7F6" w14:textId="77777777" w:rsidR="004561E6" w:rsidRPr="004561E6" w:rsidRDefault="004561E6" w:rsidP="004561E6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Net bone loss occurs</w:t>
      </w:r>
    </w:p>
    <w:p w14:paraId="3B352BD7" w14:textId="77777777" w:rsidR="004561E6" w:rsidRPr="004561E6" w:rsidRDefault="004561E6" w:rsidP="004561E6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Trabecular plates thin and perforate</w:t>
      </w:r>
    </w:p>
    <w:p w14:paraId="01DF97EC" w14:textId="77777777" w:rsidR="004561E6" w:rsidRPr="004561E6" w:rsidRDefault="004561E6" w:rsidP="004561E6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Cortical bone becomes porous and thin</w:t>
      </w:r>
    </w:p>
    <w:p w14:paraId="79D3F0C7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Normal bone density = peak bone mass achieved by age 25-30 years. After that, gradual loss begins. Rapid loss occurs after menopause (estrogen deficiency) and with advanced age.</w:t>
      </w:r>
    </w:p>
    <w:p w14:paraId="52C8FD67" w14:textId="77777777" w:rsidR="004561E6" w:rsidRPr="004561E6" w:rsidRDefault="004561E6" w:rsidP="004561E6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RISK FACTORS (Non-Modifiable)</w:t>
      </w:r>
    </w:p>
    <w:p w14:paraId="03AE339C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Advancing age</w:t>
      </w:r>
    </w:p>
    <w:p w14:paraId="4CFE9D52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Female sex</w:t>
      </w:r>
    </w:p>
    <w:p w14:paraId="5EE62EB9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Caucasian or Asian race</w:t>
      </w:r>
    </w:p>
    <w:p w14:paraId="3F9B6A8A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Family history of osteoporosis or hip fracture</w:t>
      </w:r>
    </w:p>
    <w:p w14:paraId="48530939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Small, thin frame (low body weight)</w:t>
      </w:r>
    </w:p>
    <w:p w14:paraId="3495A86C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Previous fragility fracture</w:t>
      </w:r>
    </w:p>
    <w:p w14:paraId="6C6B1378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Early menopause (&lt;45 years)</w:t>
      </w:r>
    </w:p>
    <w:p w14:paraId="62D6D36F" w14:textId="77777777" w:rsidR="004561E6" w:rsidRPr="004561E6" w:rsidRDefault="004561E6" w:rsidP="004561E6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Hypogonadism in males</w:t>
      </w:r>
    </w:p>
    <w:p w14:paraId="667A3871" w14:textId="77777777" w:rsidR="004561E6" w:rsidRPr="004561E6" w:rsidRDefault="004561E6" w:rsidP="004561E6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RISK FACTORS (Modifiable)</w:t>
      </w:r>
    </w:p>
    <w:p w14:paraId="79D42F33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Low calcium intake</w:t>
      </w:r>
    </w:p>
    <w:p w14:paraId="5C23A3CC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Vitamin D deficiency</w:t>
      </w:r>
    </w:p>
    <w:p w14:paraId="5E4FB514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Sedentary lifestyle / lack of weight-bearing exercise</w:t>
      </w:r>
    </w:p>
    <w:p w14:paraId="32E2B6A7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Smoking</w:t>
      </w:r>
    </w:p>
    <w:p w14:paraId="3E85FE35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Excessive alcohol intake (&gt;3 drinks/day)</w:t>
      </w:r>
    </w:p>
    <w:p w14:paraId="3576136B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Low body weight (BMI &lt;20)</w:t>
      </w:r>
    </w:p>
    <w:p w14:paraId="0DD3B363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Caffeine excess</w:t>
      </w:r>
    </w:p>
    <w:p w14:paraId="0D958355" w14:textId="77777777" w:rsidR="004561E6" w:rsidRPr="004561E6" w:rsidRDefault="004561E6" w:rsidP="004561E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High salt intake (increases urinary calcium loss)</w:t>
      </w:r>
    </w:p>
    <w:p w14:paraId="3BDC075B" w14:textId="77777777" w:rsidR="004561E6" w:rsidRPr="004561E6" w:rsidRDefault="004561E6" w:rsidP="004561E6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MEDICATIONS THAT CAUSE SECONDARY OSTEOPOROSIS</w:t>
      </w:r>
    </w:p>
    <w:p w14:paraId="0312FFBC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Glucocorticoids (prednisone – most common cause of secondary osteoporosis)</w:t>
      </w:r>
    </w:p>
    <w:p w14:paraId="0AE98254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Anticonvulsants (phenytoin, phenobarbital, carbamazepine)</w:t>
      </w:r>
    </w:p>
    <w:p w14:paraId="3B397861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Aromatase inhibitors (breast cancer)</w:t>
      </w:r>
    </w:p>
    <w:p w14:paraId="26CC03FC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GnRH agonists (prostate cancer)</w:t>
      </w:r>
    </w:p>
    <w:p w14:paraId="7BC1B488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lastRenderedPageBreak/>
        <w:t>Proton pump inhibitors (long-term, high-dose)</w:t>
      </w:r>
    </w:p>
    <w:p w14:paraId="5137CB61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Selective serotonin reuptake inhibitors (SSRIs)</w:t>
      </w:r>
    </w:p>
    <w:p w14:paraId="64821962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Thiazolidinediones (diabetes medications)</w:t>
      </w:r>
    </w:p>
    <w:p w14:paraId="6E14B9F0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Heparin (long-term use)</w:t>
      </w:r>
    </w:p>
    <w:p w14:paraId="2C2E1743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Loop diuretics (furosemide)</w:t>
      </w:r>
    </w:p>
    <w:p w14:paraId="7F3F2E8B" w14:textId="77777777" w:rsidR="004561E6" w:rsidRPr="004561E6" w:rsidRDefault="004561E6" w:rsidP="004561E6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Methotrexate</w:t>
      </w:r>
    </w:p>
    <w:p w14:paraId="35E97618" w14:textId="77777777" w:rsidR="004561E6" w:rsidRPr="004561E6" w:rsidRDefault="004561E6" w:rsidP="004561E6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CLINICAL FEATURES (Symptoms and Signs)</w:t>
      </w:r>
    </w:p>
    <w:p w14:paraId="58644A43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Osteoporosis is asymptomatic until a fracture occurs.</w:t>
      </w:r>
    </w:p>
    <w:p w14:paraId="1A81DA7D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Symptoms of Established Osteoporosis:</w:t>
      </w:r>
    </w:p>
    <w:p w14:paraId="02A7A157" w14:textId="77777777" w:rsidR="004561E6" w:rsidRPr="004561E6" w:rsidRDefault="004561E6" w:rsidP="004561E6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Back pain (acute from vertebral fracture)</w:t>
      </w:r>
    </w:p>
    <w:p w14:paraId="73E5355C" w14:textId="77777777" w:rsidR="004561E6" w:rsidRPr="004561E6" w:rsidRDefault="004561E6" w:rsidP="004561E6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Loss of height (more than 1.5 inches or 4 cm)</w:t>
      </w:r>
    </w:p>
    <w:p w14:paraId="3B3CF174" w14:textId="77777777" w:rsidR="004561E6" w:rsidRPr="004561E6" w:rsidRDefault="004561E6" w:rsidP="004561E6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Kyphosis (dowager's hump – exaggerated thoracic curvature)</w:t>
      </w:r>
    </w:p>
    <w:p w14:paraId="2C07B041" w14:textId="77777777" w:rsidR="004561E6" w:rsidRPr="004561E6" w:rsidRDefault="004561E6" w:rsidP="004561E6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Protruding abdomen (due to shortened spine)</w:t>
      </w:r>
    </w:p>
    <w:p w14:paraId="3E018189" w14:textId="77777777" w:rsidR="004561E6" w:rsidRPr="004561E6" w:rsidRDefault="004561E6" w:rsidP="004561E6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Rib cage resting on iliac crest (late sign)</w:t>
      </w:r>
    </w:p>
    <w:p w14:paraId="5AD32907" w14:textId="77777777" w:rsidR="004561E6" w:rsidRPr="004561E6" w:rsidRDefault="004561E6" w:rsidP="004561E6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Fracture after minimal trauma (fall from standing height or less)</w:t>
      </w:r>
    </w:p>
    <w:p w14:paraId="71D9DD96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Typical Fragility Fractures:</w:t>
      </w:r>
    </w:p>
    <w:p w14:paraId="4E16C0D9" w14:textId="77777777" w:rsidR="004561E6" w:rsidRPr="004561E6" w:rsidRDefault="004561E6" w:rsidP="004561E6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Vertebral (wedge or crush fractures)</w:t>
      </w:r>
    </w:p>
    <w:p w14:paraId="59F11A53" w14:textId="77777777" w:rsidR="004561E6" w:rsidRPr="004561E6" w:rsidRDefault="004561E6" w:rsidP="004561E6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Hip (femoral neck or intertrochanteric)</w:t>
      </w:r>
    </w:p>
    <w:p w14:paraId="118BC5A9" w14:textId="77777777" w:rsidR="004561E6" w:rsidRPr="004561E6" w:rsidRDefault="004561E6" w:rsidP="004561E6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Distal radius (Colles fracture)</w:t>
      </w:r>
    </w:p>
    <w:p w14:paraId="3A2AA043" w14:textId="77777777" w:rsidR="004561E6" w:rsidRPr="004561E6" w:rsidRDefault="004561E6" w:rsidP="004561E6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Proximal humerus</w:t>
      </w:r>
    </w:p>
    <w:p w14:paraId="10530934" w14:textId="77777777" w:rsidR="004561E6" w:rsidRPr="004561E6" w:rsidRDefault="004561E6" w:rsidP="004561E6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Pelvis</w:t>
      </w:r>
    </w:p>
    <w:p w14:paraId="5C94C1B7" w14:textId="77777777" w:rsidR="004561E6" w:rsidRPr="004561E6" w:rsidRDefault="004561E6" w:rsidP="004561E6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Ribs</w:t>
      </w:r>
    </w:p>
    <w:p w14:paraId="51D881AA" w14:textId="77777777" w:rsidR="004561E6" w:rsidRPr="004561E6" w:rsidRDefault="004561E6" w:rsidP="004561E6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DIAGNOSIS</w:t>
      </w:r>
    </w:p>
    <w:p w14:paraId="79F33E15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A. Dual-energy X-ray Absorptiometry (DXA or DEXA) – GOLD STANDARD</w:t>
      </w:r>
    </w:p>
    <w:p w14:paraId="03A197FB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Sites measured: Lumbar spine (L1-L4), hip (femoral neck, total hip), and sometimes distal radius.</w:t>
      </w:r>
    </w:p>
    <w:p w14:paraId="69501E78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T-score interpretation:</w:t>
      </w:r>
    </w:p>
    <w:p w14:paraId="41ADDAD4" w14:textId="77777777" w:rsidR="004561E6" w:rsidRPr="004561E6" w:rsidRDefault="004561E6" w:rsidP="004561E6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Normal: T-score ≥ -1.0</w:t>
      </w:r>
    </w:p>
    <w:p w14:paraId="45B0CCCF" w14:textId="77777777" w:rsidR="004561E6" w:rsidRPr="004561E6" w:rsidRDefault="004561E6" w:rsidP="004561E6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Osteopenia (low bone mass): T-score between -1.0 and -2.5</w:t>
      </w:r>
    </w:p>
    <w:p w14:paraId="2AADFA37" w14:textId="77777777" w:rsidR="004561E6" w:rsidRPr="004561E6" w:rsidRDefault="004561E6" w:rsidP="004561E6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Osteoporosis: T-score ≤ -2.5</w:t>
      </w:r>
    </w:p>
    <w:p w14:paraId="6F64E1BA" w14:textId="77777777" w:rsidR="004561E6" w:rsidRPr="004561E6" w:rsidRDefault="004561E6" w:rsidP="004561E6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Severe (established) osteoporosis: T-score ≤ -2.5 + presence of one or more fragility fractures</w:t>
      </w:r>
    </w:p>
    <w:p w14:paraId="0C347CEE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Z-score: Compares to age-matched peers. Z-score ≤ -2.0 suggests secondary cause of osteoporosis.</w:t>
      </w:r>
    </w:p>
    <w:p w14:paraId="54A980B7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B. Indications for DXA Screening (WHO/NOF/NIH)</w:t>
      </w:r>
    </w:p>
    <w:p w14:paraId="05BBC68C" w14:textId="77777777" w:rsidR="004561E6" w:rsidRPr="004561E6" w:rsidRDefault="004561E6" w:rsidP="004561E6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lastRenderedPageBreak/>
        <w:t>Women ≥65 years and men ≥70 years (routine screening)</w:t>
      </w:r>
    </w:p>
    <w:p w14:paraId="0FBCA914" w14:textId="77777777" w:rsidR="004561E6" w:rsidRPr="004561E6" w:rsidRDefault="004561E6" w:rsidP="004561E6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Postmenopausal women &lt;65 years with risk factors</w:t>
      </w:r>
    </w:p>
    <w:p w14:paraId="53AF0AEE" w14:textId="77777777" w:rsidR="004561E6" w:rsidRPr="004561E6" w:rsidRDefault="004561E6" w:rsidP="004561E6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Adults with fragility fracture after age 50</w:t>
      </w:r>
    </w:p>
    <w:p w14:paraId="7D431BCE" w14:textId="77777777" w:rsidR="004561E6" w:rsidRPr="004561E6" w:rsidRDefault="004561E6" w:rsidP="004561E6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Adults with condition or medication associated with low bone mass</w:t>
      </w:r>
    </w:p>
    <w:p w14:paraId="128EBBC1" w14:textId="77777777" w:rsidR="004561E6" w:rsidRPr="004561E6" w:rsidRDefault="004561E6" w:rsidP="004561E6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Anyone being considered for pharmacologic therapy</w:t>
      </w:r>
    </w:p>
    <w:p w14:paraId="08C58FCB" w14:textId="77777777" w:rsidR="004561E6" w:rsidRPr="004561E6" w:rsidRDefault="004561E6" w:rsidP="004561E6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Anyone on osteoporosis treatment (to monitor response every 1-2 years)</w:t>
      </w:r>
    </w:p>
    <w:p w14:paraId="1E2A0676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C. Laboratory Evaluation (to rule out secondary causes)</w:t>
      </w:r>
    </w:p>
    <w:p w14:paraId="4D469AAF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Basic tests:</w:t>
      </w:r>
    </w:p>
    <w:p w14:paraId="28A8FFCC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Serum calcium, phosphorus</w:t>
      </w:r>
    </w:p>
    <w:p w14:paraId="7669EEE0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25-hydroxyvitamin D (vitamin D level)</w:t>
      </w:r>
    </w:p>
    <w:p w14:paraId="58FE094D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Serum creatinine, eGFR</w:t>
      </w:r>
    </w:p>
    <w:p w14:paraId="24B7A79D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Alkaline phosphatase (elevated in osteomalacia, Paget disease)</w:t>
      </w:r>
    </w:p>
    <w:p w14:paraId="34A6074E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Complete blood count (anemia suggests multiple myeloma)</w:t>
      </w:r>
    </w:p>
    <w:p w14:paraId="607309EF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Thyroid-stimulating hormone (hyperthyroidism)</w:t>
      </w:r>
    </w:p>
    <w:p w14:paraId="3851046B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Parathyroid hormone (hyperparathyroidism)</w:t>
      </w:r>
    </w:p>
    <w:p w14:paraId="17235A9C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Testosterone (males with hypogonadism)</w:t>
      </w:r>
    </w:p>
    <w:p w14:paraId="4257CF10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Serum protein electrophoresis (multiple myeloma)</w:t>
      </w:r>
    </w:p>
    <w:p w14:paraId="3DAF8216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Tissue transglutaminase antibodies (celiac disease)</w:t>
      </w:r>
    </w:p>
    <w:p w14:paraId="111E67B4" w14:textId="77777777" w:rsidR="004561E6" w:rsidRPr="004561E6" w:rsidRDefault="004561E6" w:rsidP="004561E6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24-hour urinary calcium (hypercalciuria)</w:t>
      </w:r>
    </w:p>
    <w:p w14:paraId="567D1278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D. Imaging</w:t>
      </w:r>
    </w:p>
    <w:p w14:paraId="173A7AA2" w14:textId="77777777" w:rsidR="004561E6" w:rsidRPr="004561E6" w:rsidRDefault="004561E6" w:rsidP="004561E6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X-ray: Not sensitive for diagnosis (only detects osteoporosis after 30-40% bone loss). Shows vertebral fractures, reduced bone density.</w:t>
      </w:r>
    </w:p>
    <w:p w14:paraId="397F680D" w14:textId="77777777" w:rsidR="004561E6" w:rsidRPr="004561E6" w:rsidRDefault="004561E6" w:rsidP="004561E6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Vertebral fracture assessment (VFA): DXA-based lateral spine imaging to detect occult vertebral fractures.</w:t>
      </w:r>
    </w:p>
    <w:p w14:paraId="67C79456" w14:textId="77777777" w:rsidR="004561E6" w:rsidRPr="004561E6" w:rsidRDefault="004561E6" w:rsidP="004561E6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FRAGILITY FRACTURE – DEFINITION</w:t>
      </w:r>
    </w:p>
    <w:p w14:paraId="6E928A5F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 fragility fracture is a fracture that occurs from:</w:t>
      </w:r>
    </w:p>
    <w:p w14:paraId="06D34445" w14:textId="77777777" w:rsidR="004561E6" w:rsidRPr="004561E6" w:rsidRDefault="004561E6" w:rsidP="004561E6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 fall from standing height or less</w:t>
      </w:r>
    </w:p>
    <w:p w14:paraId="71EEB1F4" w14:textId="77777777" w:rsidR="004561E6" w:rsidRPr="004561E6" w:rsidRDefault="004561E6" w:rsidP="004561E6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Or no identifiable trauma</w:t>
      </w:r>
    </w:p>
    <w:p w14:paraId="6D2DC1E4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It is diagnostic of osteoporosis regardless of T-score.</w:t>
      </w:r>
    </w:p>
    <w:p w14:paraId="0F744988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Once a fragility fracture occurs, risk of another fracture doubles immediately.</w:t>
      </w:r>
    </w:p>
    <w:p w14:paraId="7B35AA10" w14:textId="77777777" w:rsidR="004561E6" w:rsidRPr="004561E6" w:rsidRDefault="004561E6" w:rsidP="004561E6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SCREENING TOOLS (Clinical Risk Assessment)</w:t>
      </w:r>
    </w:p>
    <w:p w14:paraId="54CA28D7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FRAX (Fracture Risk Assessment Tool):</w:t>
      </w:r>
    </w:p>
    <w:p w14:paraId="6A8D91DA" w14:textId="77777777" w:rsidR="004561E6" w:rsidRPr="004561E6" w:rsidRDefault="004561E6" w:rsidP="004561E6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Calculates 10-year probability of major osteoporotic fracture (hip, spine, wrist, humerus)</w:t>
      </w:r>
    </w:p>
    <w:p w14:paraId="5421388D" w14:textId="77777777" w:rsidR="004561E6" w:rsidRPr="004561E6" w:rsidRDefault="004561E6" w:rsidP="004561E6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lastRenderedPageBreak/>
        <w:t>Used to decide when to start treatment</w:t>
      </w:r>
    </w:p>
    <w:p w14:paraId="198369B1" w14:textId="77777777" w:rsidR="004561E6" w:rsidRPr="004561E6" w:rsidRDefault="004561E6" w:rsidP="004561E6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Available online (free)</w:t>
      </w:r>
    </w:p>
    <w:p w14:paraId="617A776D" w14:textId="77777777" w:rsidR="004561E6" w:rsidRPr="004561E6" w:rsidRDefault="004561E6" w:rsidP="004561E6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Includes clinical risk factors with or without BMD</w:t>
      </w:r>
    </w:p>
    <w:p w14:paraId="32447F6B" w14:textId="77777777" w:rsidR="004561E6" w:rsidRPr="004561E6" w:rsidRDefault="004561E6" w:rsidP="004561E6">
      <w:pPr>
        <w:rPr>
          <w:rFonts w:ascii="Times New Roman" w:hAnsi="Times New Roman" w:cs="Times New Roman"/>
        </w:rPr>
      </w:pPr>
      <w:r w:rsidRPr="004561E6">
        <w:rPr>
          <w:rFonts w:ascii="Times New Roman" w:hAnsi="Times New Roman" w:cs="Times New Roman"/>
        </w:rPr>
        <w:t>CAROC tool (Canadian version): Simpler, uses age, sex, BMD, and prior fracture.</w:t>
      </w:r>
    </w:p>
    <w:p w14:paraId="6191BACF" w14:textId="77777777" w:rsidR="00500735" w:rsidRPr="005406B1" w:rsidRDefault="00500735">
      <w:pPr>
        <w:rPr>
          <w:rFonts w:ascii="Times New Roman" w:hAnsi="Times New Roman" w:cs="Times New Roman"/>
        </w:rPr>
      </w:pPr>
    </w:p>
    <w:sectPr w:rsidR="00500735" w:rsidRPr="0054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52A"/>
    <w:multiLevelType w:val="multilevel"/>
    <w:tmpl w:val="8036F9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1753A"/>
    <w:multiLevelType w:val="multilevel"/>
    <w:tmpl w:val="EE388B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F73F7"/>
    <w:multiLevelType w:val="multilevel"/>
    <w:tmpl w:val="218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37367"/>
    <w:multiLevelType w:val="multilevel"/>
    <w:tmpl w:val="0382D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36E4F"/>
    <w:multiLevelType w:val="multilevel"/>
    <w:tmpl w:val="4E326A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3492A"/>
    <w:multiLevelType w:val="multilevel"/>
    <w:tmpl w:val="413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C336B"/>
    <w:multiLevelType w:val="multilevel"/>
    <w:tmpl w:val="81C03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76980"/>
    <w:multiLevelType w:val="multilevel"/>
    <w:tmpl w:val="5D32D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C5894"/>
    <w:multiLevelType w:val="multilevel"/>
    <w:tmpl w:val="DF6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70BCA"/>
    <w:multiLevelType w:val="multilevel"/>
    <w:tmpl w:val="C7464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C3D1A"/>
    <w:multiLevelType w:val="multilevel"/>
    <w:tmpl w:val="9D22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F0F19"/>
    <w:multiLevelType w:val="multilevel"/>
    <w:tmpl w:val="BFEC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1025E"/>
    <w:multiLevelType w:val="multilevel"/>
    <w:tmpl w:val="170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25E7F"/>
    <w:multiLevelType w:val="multilevel"/>
    <w:tmpl w:val="E28A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01102"/>
    <w:multiLevelType w:val="multilevel"/>
    <w:tmpl w:val="51B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F5BAB"/>
    <w:multiLevelType w:val="multilevel"/>
    <w:tmpl w:val="F3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C4B60"/>
    <w:multiLevelType w:val="multilevel"/>
    <w:tmpl w:val="F014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422B9"/>
    <w:multiLevelType w:val="multilevel"/>
    <w:tmpl w:val="A2CA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255A78"/>
    <w:multiLevelType w:val="multilevel"/>
    <w:tmpl w:val="E4B8FD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5693B"/>
    <w:multiLevelType w:val="multilevel"/>
    <w:tmpl w:val="88B4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5A0DF3"/>
    <w:multiLevelType w:val="multilevel"/>
    <w:tmpl w:val="9304A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092E95"/>
    <w:multiLevelType w:val="multilevel"/>
    <w:tmpl w:val="92DA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58440D"/>
    <w:multiLevelType w:val="multilevel"/>
    <w:tmpl w:val="B7C80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FC002A"/>
    <w:multiLevelType w:val="multilevel"/>
    <w:tmpl w:val="CDAA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36E5A"/>
    <w:multiLevelType w:val="multilevel"/>
    <w:tmpl w:val="7B3061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B74F7F"/>
    <w:multiLevelType w:val="multilevel"/>
    <w:tmpl w:val="082A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085CB9"/>
    <w:multiLevelType w:val="multilevel"/>
    <w:tmpl w:val="FB7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AB75BE"/>
    <w:multiLevelType w:val="multilevel"/>
    <w:tmpl w:val="840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E21EF3"/>
    <w:multiLevelType w:val="multilevel"/>
    <w:tmpl w:val="2D1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E6331"/>
    <w:multiLevelType w:val="multilevel"/>
    <w:tmpl w:val="3660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31330"/>
    <w:multiLevelType w:val="multilevel"/>
    <w:tmpl w:val="8D8223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8C672C"/>
    <w:multiLevelType w:val="multilevel"/>
    <w:tmpl w:val="9AB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1A2C2E"/>
    <w:multiLevelType w:val="multilevel"/>
    <w:tmpl w:val="152ED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C5E4E"/>
    <w:multiLevelType w:val="multilevel"/>
    <w:tmpl w:val="35E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E64FB3"/>
    <w:multiLevelType w:val="multilevel"/>
    <w:tmpl w:val="A01C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3C289C"/>
    <w:multiLevelType w:val="multilevel"/>
    <w:tmpl w:val="3A5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DE2BE9"/>
    <w:multiLevelType w:val="multilevel"/>
    <w:tmpl w:val="863E7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B41E8C"/>
    <w:multiLevelType w:val="multilevel"/>
    <w:tmpl w:val="148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E16B73"/>
    <w:multiLevelType w:val="multilevel"/>
    <w:tmpl w:val="B0DA2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B53CB3"/>
    <w:multiLevelType w:val="multilevel"/>
    <w:tmpl w:val="AD6A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30149D"/>
    <w:multiLevelType w:val="multilevel"/>
    <w:tmpl w:val="085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405F66"/>
    <w:multiLevelType w:val="multilevel"/>
    <w:tmpl w:val="50008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590DC0"/>
    <w:multiLevelType w:val="multilevel"/>
    <w:tmpl w:val="745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911CF"/>
    <w:multiLevelType w:val="multilevel"/>
    <w:tmpl w:val="C65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B06F12"/>
    <w:multiLevelType w:val="multilevel"/>
    <w:tmpl w:val="8726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D81FD6"/>
    <w:multiLevelType w:val="multilevel"/>
    <w:tmpl w:val="027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313CAF"/>
    <w:multiLevelType w:val="multilevel"/>
    <w:tmpl w:val="85B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865DC4"/>
    <w:multiLevelType w:val="multilevel"/>
    <w:tmpl w:val="E4F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E02A24"/>
    <w:multiLevelType w:val="multilevel"/>
    <w:tmpl w:val="A0CC3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C96E80"/>
    <w:multiLevelType w:val="multilevel"/>
    <w:tmpl w:val="C88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29140">
    <w:abstractNumId w:val="17"/>
  </w:num>
  <w:num w:numId="2" w16cid:durableId="1520394794">
    <w:abstractNumId w:val="11"/>
  </w:num>
  <w:num w:numId="3" w16cid:durableId="1827435341">
    <w:abstractNumId w:val="12"/>
  </w:num>
  <w:num w:numId="4" w16cid:durableId="1794708020">
    <w:abstractNumId w:val="13"/>
  </w:num>
  <w:num w:numId="5" w16cid:durableId="66149739">
    <w:abstractNumId w:val="45"/>
  </w:num>
  <w:num w:numId="6" w16cid:durableId="1006980597">
    <w:abstractNumId w:val="7"/>
  </w:num>
  <w:num w:numId="7" w16cid:durableId="1173295896">
    <w:abstractNumId w:val="47"/>
  </w:num>
  <w:num w:numId="8" w16cid:durableId="674653392">
    <w:abstractNumId w:val="18"/>
  </w:num>
  <w:num w:numId="9" w16cid:durableId="413672992">
    <w:abstractNumId w:val="35"/>
  </w:num>
  <w:num w:numId="10" w16cid:durableId="128983419">
    <w:abstractNumId w:val="36"/>
  </w:num>
  <w:num w:numId="11" w16cid:durableId="1528442617">
    <w:abstractNumId w:val="16"/>
  </w:num>
  <w:num w:numId="12" w16cid:durableId="1479154997">
    <w:abstractNumId w:val="21"/>
  </w:num>
  <w:num w:numId="13" w16cid:durableId="241064417">
    <w:abstractNumId w:val="26"/>
  </w:num>
  <w:num w:numId="14" w16cid:durableId="1260868734">
    <w:abstractNumId w:val="32"/>
  </w:num>
  <w:num w:numId="15" w16cid:durableId="1135831274">
    <w:abstractNumId w:val="23"/>
  </w:num>
  <w:num w:numId="16" w16cid:durableId="18702194">
    <w:abstractNumId w:val="20"/>
  </w:num>
  <w:num w:numId="17" w16cid:durableId="225335340">
    <w:abstractNumId w:val="33"/>
  </w:num>
  <w:num w:numId="18" w16cid:durableId="1418478811">
    <w:abstractNumId w:val="29"/>
  </w:num>
  <w:num w:numId="19" w16cid:durableId="1905145144">
    <w:abstractNumId w:val="24"/>
  </w:num>
  <w:num w:numId="20" w16cid:durableId="522283424">
    <w:abstractNumId w:val="40"/>
  </w:num>
  <w:num w:numId="21" w16cid:durableId="989596254">
    <w:abstractNumId w:val="38"/>
  </w:num>
  <w:num w:numId="22" w16cid:durableId="2141144854">
    <w:abstractNumId w:val="42"/>
  </w:num>
  <w:num w:numId="23" w16cid:durableId="546916193">
    <w:abstractNumId w:val="44"/>
  </w:num>
  <w:num w:numId="24" w16cid:durableId="1613904352">
    <w:abstractNumId w:val="5"/>
  </w:num>
  <w:num w:numId="25" w16cid:durableId="1616477693">
    <w:abstractNumId w:val="6"/>
  </w:num>
  <w:num w:numId="26" w16cid:durableId="1591426398">
    <w:abstractNumId w:val="14"/>
  </w:num>
  <w:num w:numId="27" w16cid:durableId="1054546647">
    <w:abstractNumId w:val="3"/>
  </w:num>
  <w:num w:numId="28" w16cid:durableId="1676954902">
    <w:abstractNumId w:val="37"/>
  </w:num>
  <w:num w:numId="29" w16cid:durableId="911279208">
    <w:abstractNumId w:val="46"/>
  </w:num>
  <w:num w:numId="30" w16cid:durableId="1499465677">
    <w:abstractNumId w:val="19"/>
  </w:num>
  <w:num w:numId="31" w16cid:durableId="478765989">
    <w:abstractNumId w:val="48"/>
  </w:num>
  <w:num w:numId="32" w16cid:durableId="1653945672">
    <w:abstractNumId w:val="49"/>
  </w:num>
  <w:num w:numId="33" w16cid:durableId="810366459">
    <w:abstractNumId w:val="30"/>
  </w:num>
  <w:num w:numId="34" w16cid:durableId="251159647">
    <w:abstractNumId w:val="15"/>
  </w:num>
  <w:num w:numId="35" w16cid:durableId="1863281410">
    <w:abstractNumId w:val="41"/>
  </w:num>
  <w:num w:numId="36" w16cid:durableId="1971326940">
    <w:abstractNumId w:val="43"/>
  </w:num>
  <w:num w:numId="37" w16cid:durableId="522940815">
    <w:abstractNumId w:val="9"/>
  </w:num>
  <w:num w:numId="38" w16cid:durableId="5599420">
    <w:abstractNumId w:val="27"/>
  </w:num>
  <w:num w:numId="39" w16cid:durableId="1430925821">
    <w:abstractNumId w:val="22"/>
  </w:num>
  <w:num w:numId="40" w16cid:durableId="729352025">
    <w:abstractNumId w:val="39"/>
  </w:num>
  <w:num w:numId="41" w16cid:durableId="1418792553">
    <w:abstractNumId w:val="10"/>
  </w:num>
  <w:num w:numId="42" w16cid:durableId="755398482">
    <w:abstractNumId w:val="4"/>
  </w:num>
  <w:num w:numId="43" w16cid:durableId="91323458">
    <w:abstractNumId w:val="34"/>
  </w:num>
  <w:num w:numId="44" w16cid:durableId="216284113">
    <w:abstractNumId w:val="31"/>
  </w:num>
  <w:num w:numId="45" w16cid:durableId="228733659">
    <w:abstractNumId w:val="2"/>
  </w:num>
  <w:num w:numId="46" w16cid:durableId="671488441">
    <w:abstractNumId w:val="25"/>
  </w:num>
  <w:num w:numId="47" w16cid:durableId="468207907">
    <w:abstractNumId w:val="1"/>
  </w:num>
  <w:num w:numId="48" w16cid:durableId="1590696650">
    <w:abstractNumId w:val="8"/>
  </w:num>
  <w:num w:numId="49" w16cid:durableId="608241025">
    <w:abstractNumId w:val="0"/>
  </w:num>
  <w:num w:numId="50" w16cid:durableId="2119905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B1"/>
    <w:rsid w:val="003D3C68"/>
    <w:rsid w:val="004561E6"/>
    <w:rsid w:val="00500735"/>
    <w:rsid w:val="005406B1"/>
    <w:rsid w:val="00605D29"/>
    <w:rsid w:val="00A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60A3"/>
  <w15:chartTrackingRefBased/>
  <w15:docId w15:val="{492327AF-1956-4129-8B03-59F73EC3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k3422</dc:creator>
  <cp:keywords/>
  <dc:description/>
  <cp:lastModifiedBy>k3422</cp:lastModifiedBy>
  <cp:revision>4</cp:revision>
  <dcterms:created xsi:type="dcterms:W3CDTF">2026-06-03T10:07:00Z</dcterms:created>
  <dcterms:modified xsi:type="dcterms:W3CDTF">2026-06-03T10:19:00Z</dcterms:modified>
</cp:coreProperties>
</file>