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infrared-radiation-irr"/>
    <w:p>
      <w:pPr>
        <w:pStyle w:val="Heading1"/>
      </w:pPr>
      <w:r>
        <w:t xml:space="preserve">Infrared Radiation (IRR)</w:t>
      </w:r>
    </w:p>
    <w:p>
      <w:pPr>
        <w:pStyle w:val="FirstParagraph"/>
      </w:pPr>
      <w:r>
        <w:t xml:space="preserve">Infrared Radiation (IRR) is a form of electromagnetic radiation with wavelengths longer than visible light and shorter than microwaves. In physiotherapy, infrared radiation is used as a superficial heating modality to relieve pain, reduce muscle spasm, increase local blood circulation, and promote tissue healing.</w:t>
      </w:r>
    </w:p>
    <w:bookmarkStart w:id="22" w:name="types-of-infrared-radiation"/>
    <w:p>
      <w:pPr>
        <w:pStyle w:val="Heading2"/>
      </w:pPr>
      <w:r>
        <w:t xml:space="preserve">Types of Infrared Radiation</w:t>
      </w:r>
    </w:p>
    <w:bookmarkStart w:id="20" w:name="near-infrared-ir-a"/>
    <w:p>
      <w:pPr>
        <w:pStyle w:val="Heading3"/>
      </w:pPr>
      <w:r>
        <w:t xml:space="preserve">1. Near Infrared (IR-A)</w:t>
      </w:r>
    </w:p>
    <w:p>
      <w:pPr>
        <w:pStyle w:val="Compact"/>
        <w:numPr>
          <w:ilvl w:val="0"/>
          <w:numId w:val="1001"/>
        </w:numPr>
      </w:pPr>
      <w:r>
        <w:t xml:space="preserve">Wavelength: 700–1400 nm</w:t>
      </w:r>
    </w:p>
    <w:p>
      <w:pPr>
        <w:pStyle w:val="Compact"/>
        <w:numPr>
          <w:ilvl w:val="0"/>
          <w:numId w:val="1001"/>
        </w:numPr>
      </w:pPr>
      <w:r>
        <w:t xml:space="preserve">Produced by luminous generators</w:t>
      </w:r>
    </w:p>
    <w:p>
      <w:pPr>
        <w:pStyle w:val="Compact"/>
        <w:numPr>
          <w:ilvl w:val="0"/>
          <w:numId w:val="1001"/>
        </w:numPr>
      </w:pPr>
      <w:r>
        <w:t xml:space="preserve">Penetrates deeper into tissues</w:t>
      </w:r>
    </w:p>
    <w:bookmarkEnd w:id="20"/>
    <w:bookmarkStart w:id="21" w:name="far-infrared-ir-b-and-ir-c"/>
    <w:p>
      <w:pPr>
        <w:pStyle w:val="Heading3"/>
      </w:pPr>
      <w:r>
        <w:t xml:space="preserve">2. Far Infrared (IR-B and IR-C)</w:t>
      </w:r>
    </w:p>
    <w:p>
      <w:pPr>
        <w:pStyle w:val="Compact"/>
        <w:numPr>
          <w:ilvl w:val="0"/>
          <w:numId w:val="1002"/>
        </w:numPr>
      </w:pPr>
      <w:r>
        <w:t xml:space="preserve">Wavelength: 1400 nm–1 mm</w:t>
      </w:r>
    </w:p>
    <w:p>
      <w:pPr>
        <w:pStyle w:val="Compact"/>
        <w:numPr>
          <w:ilvl w:val="0"/>
          <w:numId w:val="1002"/>
        </w:numPr>
      </w:pPr>
      <w:r>
        <w:t xml:space="preserve">Produced by non-luminous generators</w:t>
      </w:r>
    </w:p>
    <w:p>
      <w:pPr>
        <w:pStyle w:val="Compact"/>
        <w:numPr>
          <w:ilvl w:val="0"/>
          <w:numId w:val="1002"/>
        </w:numPr>
      </w:pPr>
      <w:r>
        <w:t xml:space="preserve">Primarily absorbed by superficial tissues</w:t>
      </w:r>
    </w:p>
    <w:bookmarkEnd w:id="21"/>
    <w:bookmarkEnd w:id="22"/>
    <w:bookmarkStart w:id="25" w:name="physiological-effects"/>
    <w:p>
      <w:pPr>
        <w:pStyle w:val="Heading2"/>
      </w:pPr>
      <w:r>
        <w:t xml:space="preserve">Physiological Effects</w:t>
      </w:r>
    </w:p>
    <w:bookmarkStart w:id="23" w:name="thermal-effects"/>
    <w:p>
      <w:pPr>
        <w:pStyle w:val="Heading3"/>
      </w:pPr>
      <w:r>
        <w:t xml:space="preserve">Thermal Effects</w:t>
      </w:r>
    </w:p>
    <w:p>
      <w:pPr>
        <w:pStyle w:val="Compact"/>
        <w:numPr>
          <w:ilvl w:val="0"/>
          <w:numId w:val="1003"/>
        </w:numPr>
      </w:pPr>
      <w:r>
        <w:t xml:space="preserve">Vasodilation of superficial blood vessels</w:t>
      </w:r>
    </w:p>
    <w:p>
      <w:pPr>
        <w:pStyle w:val="Compact"/>
        <w:numPr>
          <w:ilvl w:val="0"/>
          <w:numId w:val="1003"/>
        </w:numPr>
      </w:pPr>
      <w:r>
        <w:t xml:space="preserve">Increased local blood flow</w:t>
      </w:r>
    </w:p>
    <w:p>
      <w:pPr>
        <w:pStyle w:val="Compact"/>
        <w:numPr>
          <w:ilvl w:val="0"/>
          <w:numId w:val="1003"/>
        </w:numPr>
      </w:pPr>
      <w:r>
        <w:t xml:space="preserve">Increased metabolic rate</w:t>
      </w:r>
    </w:p>
    <w:p>
      <w:pPr>
        <w:pStyle w:val="Compact"/>
        <w:numPr>
          <w:ilvl w:val="0"/>
          <w:numId w:val="1003"/>
        </w:numPr>
      </w:pPr>
      <w:r>
        <w:t xml:space="preserve">Increased tissue extensibility</w:t>
      </w:r>
    </w:p>
    <w:p>
      <w:pPr>
        <w:pStyle w:val="Compact"/>
        <w:numPr>
          <w:ilvl w:val="0"/>
          <w:numId w:val="1003"/>
        </w:numPr>
      </w:pPr>
      <w:r>
        <w:t xml:space="preserve">Reduction of pain and muscle spasm</w:t>
      </w:r>
    </w:p>
    <w:bookmarkEnd w:id="23"/>
    <w:bookmarkStart w:id="24" w:name="non-thermal-effects"/>
    <w:p>
      <w:pPr>
        <w:pStyle w:val="Heading3"/>
      </w:pPr>
      <w:r>
        <w:t xml:space="preserve">Non-Thermal Effects</w:t>
      </w:r>
    </w:p>
    <w:p>
      <w:pPr>
        <w:pStyle w:val="Compact"/>
        <w:numPr>
          <w:ilvl w:val="0"/>
          <w:numId w:val="1004"/>
        </w:numPr>
      </w:pPr>
      <w:r>
        <w:t xml:space="preserve">Mild stimulation of tissue repair</w:t>
      </w:r>
    </w:p>
    <w:p>
      <w:pPr>
        <w:pStyle w:val="Compact"/>
        <w:numPr>
          <w:ilvl w:val="0"/>
          <w:numId w:val="1004"/>
        </w:numPr>
      </w:pPr>
      <w:r>
        <w:t xml:space="preserve">Relaxation and comfort</w:t>
      </w:r>
    </w:p>
    <w:bookmarkEnd w:id="24"/>
    <w:bookmarkEnd w:id="25"/>
    <w:bookmarkStart w:id="26" w:name="indications"/>
    <w:p>
      <w:pPr>
        <w:pStyle w:val="Heading2"/>
      </w:pPr>
      <w:r>
        <w:t xml:space="preserve">Indications</w:t>
      </w:r>
    </w:p>
    <w:p>
      <w:pPr>
        <w:pStyle w:val="Compact"/>
        <w:numPr>
          <w:ilvl w:val="0"/>
          <w:numId w:val="1005"/>
        </w:numPr>
      </w:pPr>
      <w:r>
        <w:t xml:space="preserve">Chronic musculoskeletal pain</w:t>
      </w:r>
    </w:p>
    <w:p>
      <w:pPr>
        <w:pStyle w:val="Compact"/>
        <w:numPr>
          <w:ilvl w:val="0"/>
          <w:numId w:val="1005"/>
        </w:numPr>
      </w:pPr>
      <w:r>
        <w:t xml:space="preserve">Muscle spasm</w:t>
      </w:r>
    </w:p>
    <w:p>
      <w:pPr>
        <w:pStyle w:val="Compact"/>
        <w:numPr>
          <w:ilvl w:val="0"/>
          <w:numId w:val="1005"/>
        </w:numPr>
      </w:pPr>
      <w:r>
        <w:t xml:space="preserve">Joint stiffness</w:t>
      </w:r>
    </w:p>
    <w:p>
      <w:pPr>
        <w:pStyle w:val="Compact"/>
        <w:numPr>
          <w:ilvl w:val="0"/>
          <w:numId w:val="1005"/>
        </w:numPr>
      </w:pPr>
      <w:r>
        <w:t xml:space="preserve">Osteoarthritis</w:t>
      </w:r>
    </w:p>
    <w:p>
      <w:pPr>
        <w:pStyle w:val="Compact"/>
        <w:numPr>
          <w:ilvl w:val="0"/>
          <w:numId w:val="1005"/>
        </w:numPr>
      </w:pPr>
      <w:r>
        <w:t xml:space="preserve">Subacute and chronic inflammatory conditions</w:t>
      </w:r>
    </w:p>
    <w:p>
      <w:pPr>
        <w:pStyle w:val="Compact"/>
        <w:numPr>
          <w:ilvl w:val="0"/>
          <w:numId w:val="1005"/>
        </w:numPr>
      </w:pPr>
      <w:r>
        <w:t xml:space="preserve">Preparation before stretching and exercise</w:t>
      </w:r>
    </w:p>
    <w:p>
      <w:pPr>
        <w:pStyle w:val="Compact"/>
        <w:numPr>
          <w:ilvl w:val="0"/>
          <w:numId w:val="1005"/>
        </w:numPr>
      </w:pPr>
      <w:r>
        <w:t xml:space="preserve">Post-immobilization stiffness</w:t>
      </w:r>
    </w:p>
    <w:bookmarkEnd w:id="26"/>
    <w:bookmarkStart w:id="27" w:name="contraindications"/>
    <w:p>
      <w:pPr>
        <w:pStyle w:val="Heading2"/>
      </w:pPr>
      <w:r>
        <w:t xml:space="preserve">Contraindications</w:t>
      </w:r>
    </w:p>
    <w:p>
      <w:pPr>
        <w:pStyle w:val="Compact"/>
        <w:numPr>
          <w:ilvl w:val="0"/>
          <w:numId w:val="1006"/>
        </w:numPr>
      </w:pPr>
      <w:r>
        <w:t xml:space="preserve">Acute inflammation</w:t>
      </w:r>
    </w:p>
    <w:p>
      <w:pPr>
        <w:pStyle w:val="Compact"/>
        <w:numPr>
          <w:ilvl w:val="0"/>
          <w:numId w:val="1006"/>
        </w:numPr>
      </w:pPr>
      <w:r>
        <w:t xml:space="preserve">Impaired thermal sensation</w:t>
      </w:r>
    </w:p>
    <w:p>
      <w:pPr>
        <w:pStyle w:val="Compact"/>
        <w:numPr>
          <w:ilvl w:val="0"/>
          <w:numId w:val="1006"/>
        </w:numPr>
      </w:pPr>
      <w:r>
        <w:t xml:space="preserve">Malignancy</w:t>
      </w:r>
    </w:p>
    <w:p>
      <w:pPr>
        <w:pStyle w:val="Compact"/>
        <w:numPr>
          <w:ilvl w:val="0"/>
          <w:numId w:val="1006"/>
        </w:numPr>
      </w:pPr>
      <w:r>
        <w:t xml:space="preserve">Severe circulatory disorders</w:t>
      </w:r>
    </w:p>
    <w:p>
      <w:pPr>
        <w:pStyle w:val="Compact"/>
        <w:numPr>
          <w:ilvl w:val="0"/>
          <w:numId w:val="1006"/>
        </w:numPr>
      </w:pPr>
      <w:r>
        <w:t xml:space="preserve">Active bleeding</w:t>
      </w:r>
    </w:p>
    <w:p>
      <w:pPr>
        <w:pStyle w:val="Compact"/>
        <w:numPr>
          <w:ilvl w:val="0"/>
          <w:numId w:val="1006"/>
        </w:numPr>
      </w:pPr>
      <w:r>
        <w:t xml:space="preserve">Over the eyes</w:t>
      </w:r>
    </w:p>
    <w:p>
      <w:pPr>
        <w:pStyle w:val="Compact"/>
        <w:numPr>
          <w:ilvl w:val="0"/>
          <w:numId w:val="1006"/>
        </w:numPr>
      </w:pPr>
      <w:r>
        <w:t xml:space="preserve">Areas with impaired cognition or inability to report heat sensation</w:t>
      </w:r>
    </w:p>
    <w:bookmarkEnd w:id="27"/>
    <w:bookmarkStart w:id="28" w:name="method-of-application"/>
    <w:p>
      <w:pPr>
        <w:pStyle w:val="Heading2"/>
      </w:pPr>
      <w:r>
        <w:t xml:space="preserve">Method of Application</w:t>
      </w:r>
    </w:p>
    <w:p>
      <w:pPr>
        <w:pStyle w:val="Compact"/>
        <w:numPr>
          <w:ilvl w:val="0"/>
          <w:numId w:val="1007"/>
        </w:numPr>
      </w:pPr>
      <w:r>
        <w:t xml:space="preserve">Position the patient comfortably.</w:t>
      </w:r>
    </w:p>
    <w:p>
      <w:pPr>
        <w:pStyle w:val="Compact"/>
        <w:numPr>
          <w:ilvl w:val="0"/>
          <w:numId w:val="1007"/>
        </w:numPr>
      </w:pPr>
      <w:r>
        <w:t xml:space="preserve">Place the infrared lamp perpendicular to the treatment area.</w:t>
      </w:r>
    </w:p>
    <w:p>
      <w:pPr>
        <w:pStyle w:val="Compact"/>
        <w:numPr>
          <w:ilvl w:val="0"/>
          <w:numId w:val="1007"/>
        </w:numPr>
      </w:pPr>
      <w:r>
        <w:t xml:space="preserve">Maintain a distance of approximately 45–75 cm depending on the type of lamp.</w:t>
      </w:r>
    </w:p>
    <w:p>
      <w:pPr>
        <w:pStyle w:val="Compact"/>
        <w:numPr>
          <w:ilvl w:val="0"/>
          <w:numId w:val="1007"/>
        </w:numPr>
      </w:pPr>
      <w:r>
        <w:t xml:space="preserve">Duration is usually 15–20 minutes.</w:t>
      </w:r>
    </w:p>
    <w:p>
      <w:pPr>
        <w:pStyle w:val="Compact"/>
        <w:numPr>
          <w:ilvl w:val="0"/>
          <w:numId w:val="1007"/>
        </w:numPr>
      </w:pPr>
      <w:r>
        <w:t xml:space="preserve">The patient should experience a comfortable warmth without burning.</w:t>
      </w:r>
    </w:p>
    <w:bookmarkEnd w:id="28"/>
    <w:bookmarkStart w:id="29" w:name="advantages"/>
    <w:p>
      <w:pPr>
        <w:pStyle w:val="Heading2"/>
      </w:pPr>
      <w:r>
        <w:t xml:space="preserve">Advantages</w:t>
      </w:r>
    </w:p>
    <w:p>
      <w:pPr>
        <w:pStyle w:val="Compact"/>
        <w:numPr>
          <w:ilvl w:val="0"/>
          <w:numId w:val="1008"/>
        </w:numPr>
      </w:pPr>
      <w:r>
        <w:t xml:space="preserve">Non-invasive and painless</w:t>
      </w:r>
    </w:p>
    <w:p>
      <w:pPr>
        <w:pStyle w:val="Compact"/>
        <w:numPr>
          <w:ilvl w:val="0"/>
          <w:numId w:val="1008"/>
        </w:numPr>
      </w:pPr>
      <w:r>
        <w:t xml:space="preserve">Easy to apply</w:t>
      </w:r>
    </w:p>
    <w:p>
      <w:pPr>
        <w:pStyle w:val="Compact"/>
        <w:numPr>
          <w:ilvl w:val="0"/>
          <w:numId w:val="1008"/>
        </w:numPr>
      </w:pPr>
      <w:r>
        <w:t xml:space="preserve">Provides uniform superficial heating</w:t>
      </w:r>
    </w:p>
    <w:p>
      <w:pPr>
        <w:pStyle w:val="Compact"/>
        <w:numPr>
          <w:ilvl w:val="0"/>
          <w:numId w:val="1008"/>
        </w:numPr>
      </w:pPr>
      <w:r>
        <w:t xml:space="preserve">Improves tissue flexibility before exercise</w:t>
      </w:r>
    </w:p>
    <w:bookmarkEnd w:id="29"/>
    <w:bookmarkStart w:id="30" w:name="hazards"/>
    <w:p>
      <w:pPr>
        <w:pStyle w:val="Heading2"/>
      </w:pPr>
      <w:r>
        <w:t xml:space="preserve">Hazards</w:t>
      </w:r>
    </w:p>
    <w:p>
      <w:pPr>
        <w:pStyle w:val="Compact"/>
        <w:numPr>
          <w:ilvl w:val="0"/>
          <w:numId w:val="1009"/>
        </w:numPr>
      </w:pPr>
      <w:r>
        <w:t xml:space="preserve">Burns due to excessive heat</w:t>
      </w:r>
    </w:p>
    <w:p>
      <w:pPr>
        <w:pStyle w:val="Compact"/>
        <w:numPr>
          <w:ilvl w:val="0"/>
          <w:numId w:val="1009"/>
        </w:numPr>
      </w:pPr>
      <w:r>
        <w:t xml:space="preserve">Skin irritation</w:t>
      </w:r>
    </w:p>
    <w:p>
      <w:pPr>
        <w:pStyle w:val="Compact"/>
        <w:numPr>
          <w:ilvl w:val="0"/>
          <w:numId w:val="1009"/>
        </w:numPr>
      </w:pPr>
      <w:r>
        <w:t xml:space="preserve">Eye damage if protective measures are not followed</w:t>
      </w:r>
    </w:p>
    <w:p>
      <w:pPr>
        <w:pStyle w:val="Compact"/>
        <w:numPr>
          <w:ilvl w:val="0"/>
          <w:numId w:val="1009"/>
        </w:numPr>
      </w:pPr>
      <w:r>
        <w:t xml:space="preserve">Excessive vasodilation causing dizziness in susceptible individuals</w:t>
      </w:r>
    </w:p>
    <w:p>
      <w:pPr>
        <w:pStyle w:val="FirstParagraph"/>
      </w:pPr>
      <w:r>
        <w:t xml:space="preserve">Infrared radiation remains a commonly used superficial heating modality in physiotherapy for pain relief, muscle relaxation, and preparation of tissues for therapeutic exercise and manual therapy.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2026-06-03T09:49:40Z</dcterms:created>
  <dcterms:modified xsi:type="dcterms:W3CDTF">2026-06-03T09:49:40Z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