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arterial-blood-gas-abg-analysis"/>
    <w:p>
      <w:pPr>
        <w:pStyle w:val="Heading1"/>
      </w:pPr>
      <w:r>
        <w:t xml:space="preserve">Arterial Blood Gas (ABG) Analysis</w:t>
      </w:r>
    </w:p>
    <w:p>
      <w:pPr>
        <w:pStyle w:val="FirstParagraph"/>
      </w:pPr>
      <w:r>
        <w:t xml:space="preserve">Arterial Blood Gas (ABG) analysis is a diagnostic test used to assess oxygenation, ventilation, and acid-base balance in the body. It involves the measurement of blood gases from an arterial blood sample, usually obtained from the radial, brachial, or femoral artery. ABG analysis is essential in the management of respiratory, cardiac, metabolic, and critical care patients.</w:t>
      </w:r>
    </w:p>
    <w:bookmarkStart w:id="20" w:name="normal-abg-values"/>
    <w:p>
      <w:pPr>
        <w:pStyle w:val="Heading2"/>
      </w:pPr>
      <w:r>
        <w:t xml:space="preserve">Normal ABG Values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Parameter</w:t>
            </w:r>
          </w:p>
        </w:tc>
        <w:tc>
          <w:tcPr/>
          <w:p>
            <w:pPr>
              <w:pStyle w:val="Compact"/>
            </w:pPr>
            <w:r>
              <w:t xml:space="preserve">Normal Range</w:t>
            </w:r>
          </w:p>
        </w:tc>
      </w:tr>
      <w:tr>
        <w:tc>
          <w:tcPr/>
          <w:p>
            <w:pPr>
              <w:pStyle w:val="Compact"/>
            </w:pPr>
            <w:r>
              <w:t xml:space="preserve">pH</w:t>
            </w:r>
          </w:p>
        </w:tc>
        <w:tc>
          <w:tcPr/>
          <w:p>
            <w:pPr>
              <w:pStyle w:val="Compact"/>
            </w:pPr>
            <w:r>
              <w:t xml:space="preserve">7.35–7.45</w:t>
            </w:r>
          </w:p>
        </w:tc>
      </w:tr>
      <w:tr>
        <w:tc>
          <w:tcPr/>
          <w:p>
            <w:pPr>
              <w:pStyle w:val="Compact"/>
            </w:pPr>
            <w:r>
              <w:t xml:space="preserve">PaCO₂</w:t>
            </w:r>
          </w:p>
        </w:tc>
        <w:tc>
          <w:tcPr/>
          <w:p>
            <w:pPr>
              <w:pStyle w:val="Compact"/>
            </w:pPr>
            <w:r>
              <w:t xml:space="preserve">35–45 mmHg</w:t>
            </w:r>
          </w:p>
        </w:tc>
      </w:tr>
      <w:tr>
        <w:tc>
          <w:tcPr/>
          <w:p>
            <w:pPr>
              <w:pStyle w:val="Compact"/>
            </w:pPr>
            <w:r>
              <w:t xml:space="preserve">HCO₃⁻</w:t>
            </w:r>
          </w:p>
        </w:tc>
        <w:tc>
          <w:tcPr/>
          <w:p>
            <w:pPr>
              <w:pStyle w:val="Compact"/>
            </w:pPr>
            <w:r>
              <w:t xml:space="preserve">22–26 mEq/L</w:t>
            </w:r>
          </w:p>
        </w:tc>
      </w:tr>
      <w:tr>
        <w:tc>
          <w:tcPr/>
          <w:p>
            <w:pPr>
              <w:pStyle w:val="Compact"/>
            </w:pPr>
            <w:r>
              <w:t xml:space="preserve">PaO₂</w:t>
            </w:r>
          </w:p>
        </w:tc>
        <w:tc>
          <w:tcPr/>
          <w:p>
            <w:pPr>
              <w:pStyle w:val="Compact"/>
            </w:pPr>
            <w:r>
              <w:t xml:space="preserve">80–100 mmHg</w:t>
            </w:r>
          </w:p>
        </w:tc>
      </w:tr>
      <w:tr>
        <w:tc>
          <w:tcPr/>
          <w:p>
            <w:pPr>
              <w:pStyle w:val="Compact"/>
            </w:pPr>
            <w:r>
              <w:t xml:space="preserve">SaO₂</w:t>
            </w:r>
          </w:p>
        </w:tc>
        <w:tc>
          <w:tcPr/>
          <w:p>
            <w:pPr>
              <w:pStyle w:val="Compact"/>
            </w:pPr>
            <w:r>
              <w:t xml:space="preserve">95–100%</w:t>
            </w:r>
          </w:p>
        </w:tc>
      </w:tr>
      <w:tr>
        <w:tc>
          <w:tcPr/>
          <w:p>
            <w:pPr>
              <w:pStyle w:val="Compact"/>
            </w:pPr>
            <w:r>
              <w:t xml:space="preserve">Base Excess</w:t>
            </w:r>
          </w:p>
        </w:tc>
        <w:tc>
          <w:tcPr/>
          <w:p>
            <w:pPr>
              <w:pStyle w:val="Compact"/>
            </w:pPr>
            <w:r>
              <w:t xml:space="preserve">-2 to +2 mEq/L</w:t>
            </w:r>
          </w:p>
        </w:tc>
      </w:tr>
    </w:tbl>
    <w:bookmarkEnd w:id="20"/>
    <w:bookmarkStart w:id="25" w:name="components-of-abg-analysis"/>
    <w:p>
      <w:pPr>
        <w:pStyle w:val="Heading2"/>
      </w:pPr>
      <w:r>
        <w:t xml:space="preserve">Components of ABG Analysis</w:t>
      </w:r>
    </w:p>
    <w:bookmarkStart w:id="21" w:name="ph"/>
    <w:p>
      <w:pPr>
        <w:pStyle w:val="Heading3"/>
      </w:pPr>
      <w:r>
        <w:t xml:space="preserve">1. pH</w:t>
      </w:r>
    </w:p>
    <w:p>
      <w:pPr>
        <w:pStyle w:val="FirstParagraph"/>
      </w:pPr>
      <w:r>
        <w:t xml:space="preserve">Indicates the acidity or alkalinity of blood.</w:t>
      </w:r>
    </w:p>
    <w:p>
      <w:pPr>
        <w:pStyle w:val="Compact"/>
        <w:numPr>
          <w:ilvl w:val="0"/>
          <w:numId w:val="1001"/>
        </w:numPr>
      </w:pPr>
      <w:r>
        <w:t xml:space="preserve">pH &lt; 7.35 = Acidosis</w:t>
      </w:r>
    </w:p>
    <w:p>
      <w:pPr>
        <w:pStyle w:val="Compact"/>
        <w:numPr>
          <w:ilvl w:val="0"/>
          <w:numId w:val="1001"/>
        </w:numPr>
      </w:pPr>
      <w:r>
        <w:t xml:space="preserve">pH &gt; 7.45 = Alkalosis</w:t>
      </w:r>
    </w:p>
    <w:bookmarkEnd w:id="21"/>
    <w:bookmarkStart w:id="22" w:name="paco₂"/>
    <w:p>
      <w:pPr>
        <w:pStyle w:val="Heading3"/>
      </w:pPr>
      <w:r>
        <w:t xml:space="preserve">2. PaCO₂</w:t>
      </w:r>
    </w:p>
    <w:p>
      <w:pPr>
        <w:pStyle w:val="FirstParagraph"/>
      </w:pPr>
      <w:r>
        <w:t xml:space="preserve">Represents the respiratory component controlled by the lungs.</w:t>
      </w:r>
    </w:p>
    <w:p>
      <w:pPr>
        <w:pStyle w:val="Compact"/>
        <w:numPr>
          <w:ilvl w:val="0"/>
          <w:numId w:val="1002"/>
        </w:numPr>
      </w:pPr>
      <w:r>
        <w:t xml:space="preserve">Increased PaCO₂ causes respiratory acidosis.</w:t>
      </w:r>
    </w:p>
    <w:p>
      <w:pPr>
        <w:pStyle w:val="Compact"/>
        <w:numPr>
          <w:ilvl w:val="0"/>
          <w:numId w:val="1002"/>
        </w:numPr>
      </w:pPr>
      <w:r>
        <w:t xml:space="preserve">Decreased PaCO₂ causes respiratory alkalosis.</w:t>
      </w:r>
    </w:p>
    <w:bookmarkEnd w:id="22"/>
    <w:bookmarkStart w:id="23" w:name="hco₃"/>
    <w:p>
      <w:pPr>
        <w:pStyle w:val="Heading3"/>
      </w:pPr>
      <w:r>
        <w:t xml:space="preserve">3. HCO₃⁻</w:t>
      </w:r>
    </w:p>
    <w:p>
      <w:pPr>
        <w:pStyle w:val="FirstParagraph"/>
      </w:pPr>
      <w:r>
        <w:t xml:space="preserve">Represents the metabolic component regulated by the kidneys.</w:t>
      </w:r>
    </w:p>
    <w:p>
      <w:pPr>
        <w:pStyle w:val="Compact"/>
        <w:numPr>
          <w:ilvl w:val="0"/>
          <w:numId w:val="1003"/>
        </w:numPr>
      </w:pPr>
      <w:r>
        <w:t xml:space="preserve">Low HCO₃⁻ indicates metabolic acidosis.</w:t>
      </w:r>
    </w:p>
    <w:p>
      <w:pPr>
        <w:pStyle w:val="Compact"/>
        <w:numPr>
          <w:ilvl w:val="0"/>
          <w:numId w:val="1003"/>
        </w:numPr>
      </w:pPr>
      <w:r>
        <w:t xml:space="preserve">High HCO₃⁻ indicates metabolic alkalosis.</w:t>
      </w:r>
    </w:p>
    <w:bookmarkEnd w:id="23"/>
    <w:bookmarkStart w:id="24" w:name="pao₂-and-sao₂"/>
    <w:p>
      <w:pPr>
        <w:pStyle w:val="Heading3"/>
      </w:pPr>
      <w:r>
        <w:t xml:space="preserve">4. PaO₂ and SaO₂</w:t>
      </w:r>
    </w:p>
    <w:p>
      <w:pPr>
        <w:pStyle w:val="FirstParagraph"/>
      </w:pPr>
      <w:r>
        <w:t xml:space="preserve">Assess the oxygenation status of the patient and help determine the adequacy of gas exchange.</w:t>
      </w:r>
    </w:p>
    <w:bookmarkEnd w:id="24"/>
    <w:bookmarkEnd w:id="25"/>
    <w:bookmarkStart w:id="26" w:name="steps-in-abg-interpretation"/>
    <w:p>
      <w:pPr>
        <w:pStyle w:val="Heading2"/>
      </w:pPr>
      <w:r>
        <w:t xml:space="preserve">Steps in ABG Interpretation</w:t>
      </w:r>
    </w:p>
    <w:p>
      <w:pPr>
        <w:pStyle w:val="Compact"/>
        <w:numPr>
          <w:ilvl w:val="0"/>
          <w:numId w:val="1004"/>
        </w:numPr>
      </w:pPr>
      <w:r>
        <w:t xml:space="preserve">Assess pH (acidosis or alkalosis).</w:t>
      </w:r>
    </w:p>
    <w:p>
      <w:pPr>
        <w:pStyle w:val="Compact"/>
        <w:numPr>
          <w:ilvl w:val="0"/>
          <w:numId w:val="1004"/>
        </w:numPr>
      </w:pPr>
      <w:r>
        <w:t xml:space="preserve">Evaluate PaCO₂.</w:t>
      </w:r>
    </w:p>
    <w:p>
      <w:pPr>
        <w:pStyle w:val="Compact"/>
        <w:numPr>
          <w:ilvl w:val="0"/>
          <w:numId w:val="1004"/>
        </w:numPr>
      </w:pPr>
      <w:r>
        <w:t xml:space="preserve">Evaluate HCO₃⁻.</w:t>
      </w:r>
    </w:p>
    <w:p>
      <w:pPr>
        <w:pStyle w:val="Compact"/>
        <w:numPr>
          <w:ilvl w:val="0"/>
          <w:numId w:val="1004"/>
        </w:numPr>
      </w:pPr>
      <w:r>
        <w:t xml:space="preserve">Determine whether the disorder is respiratory or metabolic.</w:t>
      </w:r>
    </w:p>
    <w:p>
      <w:pPr>
        <w:pStyle w:val="Compact"/>
        <w:numPr>
          <w:ilvl w:val="0"/>
          <w:numId w:val="1004"/>
        </w:numPr>
      </w:pPr>
      <w:r>
        <w:t xml:space="preserve">Assess compensation.</w:t>
      </w:r>
    </w:p>
    <w:p>
      <w:pPr>
        <w:pStyle w:val="Compact"/>
        <w:numPr>
          <w:ilvl w:val="0"/>
          <w:numId w:val="1004"/>
        </w:numPr>
      </w:pPr>
      <w:r>
        <w:t xml:space="preserve">Evaluate oxygenation using PaO₂ and SaO₂.</w:t>
      </w:r>
    </w:p>
    <w:bookmarkEnd w:id="26"/>
    <w:bookmarkStart w:id="31" w:name="common-abg-disorders"/>
    <w:p>
      <w:pPr>
        <w:pStyle w:val="Heading2"/>
      </w:pPr>
      <w:r>
        <w:t xml:space="preserve">Common ABG Disorders</w:t>
      </w:r>
    </w:p>
    <w:bookmarkStart w:id="27" w:name="respiratory-acidosis"/>
    <w:p>
      <w:pPr>
        <w:pStyle w:val="Heading3"/>
      </w:pPr>
      <w:r>
        <w:t xml:space="preserve">Respiratory Acidosis</w:t>
      </w:r>
    </w:p>
    <w:p>
      <w:pPr>
        <w:pStyle w:val="Compact"/>
        <w:numPr>
          <w:ilvl w:val="0"/>
          <w:numId w:val="1005"/>
        </w:numPr>
      </w:pPr>
      <w:r>
        <w:t xml:space="preserve">pH ↓, PaCO₂ ↑</w:t>
      </w:r>
    </w:p>
    <w:p>
      <w:pPr>
        <w:pStyle w:val="Compact"/>
        <w:numPr>
          <w:ilvl w:val="0"/>
          <w:numId w:val="1005"/>
        </w:numPr>
      </w:pPr>
      <w:r>
        <w:t xml:space="preserve">Causes: COPD, respiratory failure, airway obstruction.</w:t>
      </w:r>
    </w:p>
    <w:bookmarkEnd w:id="27"/>
    <w:bookmarkStart w:id="28" w:name="respiratory-alkalosis"/>
    <w:p>
      <w:pPr>
        <w:pStyle w:val="Heading3"/>
      </w:pPr>
      <w:r>
        <w:t xml:space="preserve">Respiratory Alkalosis</w:t>
      </w:r>
    </w:p>
    <w:p>
      <w:pPr>
        <w:pStyle w:val="Compact"/>
        <w:numPr>
          <w:ilvl w:val="0"/>
          <w:numId w:val="1006"/>
        </w:numPr>
      </w:pPr>
      <w:r>
        <w:t xml:space="preserve">pH ↑, PaCO₂ ↓</w:t>
      </w:r>
    </w:p>
    <w:p>
      <w:pPr>
        <w:pStyle w:val="Compact"/>
        <w:numPr>
          <w:ilvl w:val="0"/>
          <w:numId w:val="1006"/>
        </w:numPr>
      </w:pPr>
      <w:r>
        <w:t xml:space="preserve">Causes: Hyperventilation, anxiety, pulmonary embolism.</w:t>
      </w:r>
    </w:p>
    <w:bookmarkEnd w:id="28"/>
    <w:bookmarkStart w:id="29" w:name="metabolic-acidosis"/>
    <w:p>
      <w:pPr>
        <w:pStyle w:val="Heading3"/>
      </w:pPr>
      <w:r>
        <w:t xml:space="preserve">Metabolic Acidosis</w:t>
      </w:r>
    </w:p>
    <w:p>
      <w:pPr>
        <w:pStyle w:val="Compact"/>
        <w:numPr>
          <w:ilvl w:val="0"/>
          <w:numId w:val="1007"/>
        </w:numPr>
      </w:pPr>
      <w:r>
        <w:t xml:space="preserve">pH ↓, HCO₃⁻ ↓</w:t>
      </w:r>
    </w:p>
    <w:p>
      <w:pPr>
        <w:pStyle w:val="Compact"/>
        <w:numPr>
          <w:ilvl w:val="0"/>
          <w:numId w:val="1007"/>
        </w:numPr>
      </w:pPr>
      <w:r>
        <w:t xml:space="preserve">Causes: Diabetic ketoacidosis, renal failure, severe diarrhea.</w:t>
      </w:r>
    </w:p>
    <w:bookmarkEnd w:id="29"/>
    <w:bookmarkStart w:id="30" w:name="metabolic-alkalosis"/>
    <w:p>
      <w:pPr>
        <w:pStyle w:val="Heading3"/>
      </w:pPr>
      <w:r>
        <w:t xml:space="preserve">Metabolic Alkalosis</w:t>
      </w:r>
    </w:p>
    <w:p>
      <w:pPr>
        <w:pStyle w:val="Compact"/>
        <w:numPr>
          <w:ilvl w:val="0"/>
          <w:numId w:val="1008"/>
        </w:numPr>
      </w:pPr>
      <w:r>
        <w:t xml:space="preserve">pH ↑, HCO₃⁻ ↑</w:t>
      </w:r>
    </w:p>
    <w:p>
      <w:pPr>
        <w:pStyle w:val="Compact"/>
        <w:numPr>
          <w:ilvl w:val="0"/>
          <w:numId w:val="1008"/>
        </w:numPr>
      </w:pPr>
      <w:r>
        <w:t xml:space="preserve">Causes: Vomiting, excessive diuretic use, gastric suction.</w:t>
      </w:r>
    </w:p>
    <w:bookmarkEnd w:id="30"/>
    <w:bookmarkEnd w:id="31"/>
    <w:bookmarkStart w:id="32" w:name="clinical-importance"/>
    <w:p>
      <w:pPr>
        <w:pStyle w:val="Heading2"/>
      </w:pPr>
      <w:r>
        <w:t xml:space="preserve">Clinical Importance</w:t>
      </w:r>
    </w:p>
    <w:p>
      <w:pPr>
        <w:pStyle w:val="FirstParagraph"/>
      </w:pPr>
      <w:r>
        <w:t xml:space="preserve">ABG analysis helps monitor critically ill patients, guide oxygen therapy and mechanical ventilation, assess respiratory failure, and evaluate acid-base disturbances. It is an essential investigation in intensive care units, emergency departments, and cardiopulmonary rehabilitation settings.</w:t>
      </w:r>
    </w:p>
    <w:p>
      <w:pPr>
        <w:pStyle w:val="BodyText"/>
      </w:pPr>
      <w:r>
        <w:t xml:space="preserve">Accurate interpretation of ABG values enables healthcare professionals to identify underlying physiological disturbances and implement appropriate treatment strategies promptly.</w:t>
      </w:r>
    </w:p>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2026-06-03T09:50:35Z</dcterms:created>
  <dcterms:modified xsi:type="dcterms:W3CDTF">2026-06-03T09:50:35Z</dcterms:modified>
</cp:coreProperties>
</file>

<file path=docProps/custom.xml><?xml version="1.0" encoding="utf-8"?>
<Properties xmlns="http://schemas.openxmlformats.org/officeDocument/2006/custom-properties" xmlns:vt="http://schemas.openxmlformats.org/officeDocument/2006/docPropsVTypes"/>
</file>