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465AE" w14:textId="77777777" w:rsidR="002A32BD" w:rsidRPr="00726023" w:rsidRDefault="002A32BD" w:rsidP="0072602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23">
        <w:rPr>
          <w:rFonts w:ascii="Times New Roman" w:hAnsi="Times New Roman" w:cs="Times New Roman"/>
          <w:sz w:val="24"/>
          <w:szCs w:val="24"/>
        </w:rPr>
        <w:t>Define isotonicity and explain its significance in ophthalmic and parenteral pharmaceutical formulations. Provide examples of commonly used isotonic solutions and their roles.</w:t>
      </w:r>
    </w:p>
    <w:p w14:paraId="514DAE62" w14:textId="0435C1BA" w:rsidR="002A32BD" w:rsidRPr="00726023" w:rsidRDefault="002A32BD" w:rsidP="00726023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E6A40" w14:textId="77777777" w:rsidR="002A32BD" w:rsidRPr="00726023" w:rsidRDefault="002A32BD" w:rsidP="0072602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23">
        <w:rPr>
          <w:rFonts w:ascii="Times New Roman" w:hAnsi="Times New Roman" w:cs="Times New Roman"/>
          <w:sz w:val="24"/>
          <w:szCs w:val="24"/>
        </w:rPr>
        <w:t>Compare and contrast the physiological effects of hypotonic, hypertonic, and isotonic solutions when administered via ocular or parenteral routes. What consequences can arise from using a non-isotonic formulation?</w:t>
      </w:r>
    </w:p>
    <w:p w14:paraId="3FDEC60F" w14:textId="79B1A0A7" w:rsidR="002A32BD" w:rsidRPr="00726023" w:rsidRDefault="002A32BD" w:rsidP="00726023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3CCA6" w14:textId="77777777" w:rsidR="002A32BD" w:rsidRPr="00726023" w:rsidRDefault="002A32BD" w:rsidP="0072602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23">
        <w:rPr>
          <w:rFonts w:ascii="Times New Roman" w:hAnsi="Times New Roman" w:cs="Times New Roman"/>
          <w:sz w:val="24"/>
          <w:szCs w:val="24"/>
        </w:rPr>
        <w:t>Describe the formulation challenges associated with maintaining isotonicity in parenteral products. How can excipients like buffers and preservatives affect osmolarity and what are the regulatory considerations in this context?</w:t>
      </w:r>
    </w:p>
    <w:p w14:paraId="753EA92F" w14:textId="2959EEB6" w:rsidR="002A32BD" w:rsidRPr="00726023" w:rsidRDefault="002A32BD" w:rsidP="00726023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6E99B" w14:textId="77777777" w:rsidR="002A32BD" w:rsidRPr="00726023" w:rsidRDefault="002A32BD" w:rsidP="0072602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23">
        <w:rPr>
          <w:rFonts w:ascii="Times New Roman" w:hAnsi="Times New Roman" w:cs="Times New Roman"/>
          <w:sz w:val="24"/>
          <w:szCs w:val="24"/>
        </w:rPr>
        <w:t>Illustrate with suitable examples how isotonicity influences patient comfort and therapeutic efficacy in ophthalmic applications. What are the risks of using non-isotonic eye drops?</w:t>
      </w:r>
    </w:p>
    <w:p w14:paraId="3CCCB0E8" w14:textId="5BE1877A" w:rsidR="002A32BD" w:rsidRPr="00726023" w:rsidRDefault="002A32BD" w:rsidP="00726023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B79BD" w14:textId="77777777" w:rsidR="002A32BD" w:rsidRPr="00726023" w:rsidRDefault="002A32BD" w:rsidP="0072602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23">
        <w:rPr>
          <w:rFonts w:ascii="Times New Roman" w:hAnsi="Times New Roman" w:cs="Times New Roman"/>
          <w:sz w:val="24"/>
          <w:szCs w:val="24"/>
        </w:rPr>
        <w:t>Evaluate emerging strategies and future trends in achieving isotonicity in novel dosage forms such as smart contact lenses or personalized IV fluids. How might these innovations improve current clinical outcomes?</w:t>
      </w:r>
    </w:p>
    <w:p w14:paraId="58946D7E" w14:textId="731DC4B3" w:rsidR="00876D9D" w:rsidRPr="00726023" w:rsidRDefault="00876D9D" w:rsidP="00726023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6D9D" w:rsidRPr="007260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6EE0"/>
    <w:multiLevelType w:val="hybridMultilevel"/>
    <w:tmpl w:val="AF3E8718"/>
    <w:lvl w:ilvl="0" w:tplc="6DFE1D1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73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66"/>
    <w:rsid w:val="000D2F56"/>
    <w:rsid w:val="00132D1E"/>
    <w:rsid w:val="00226622"/>
    <w:rsid w:val="002A32BD"/>
    <w:rsid w:val="00382266"/>
    <w:rsid w:val="00726023"/>
    <w:rsid w:val="0086279B"/>
    <w:rsid w:val="00876D9D"/>
    <w:rsid w:val="009D168B"/>
    <w:rsid w:val="00F4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A01238"/>
  <w15:chartTrackingRefBased/>
  <w15:docId w15:val="{5BF13459-8B6E-474E-90D3-02EBFE01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2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2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2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2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2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2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2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2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2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2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2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2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2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879</Characters>
  <Application>Microsoft Office Word</Application>
  <DocSecurity>0</DocSecurity>
  <Lines>21</Lines>
  <Paragraphs>10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Sopan N. Nangare</dc:creator>
  <cp:keywords/>
  <dc:description/>
  <cp:lastModifiedBy>Sopan N. Nangare</cp:lastModifiedBy>
  <cp:revision>3</cp:revision>
  <dcterms:created xsi:type="dcterms:W3CDTF">2025-05-23T05:46:00Z</dcterms:created>
  <dcterms:modified xsi:type="dcterms:W3CDTF">2025-05-23T05:57:00Z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ae698a15-a5f4-46f9-9b51-1ce13ffca206</vt:lpwstr>
  </property>
</Properties>
</file>